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F723CF">
      <w:pPr>
        <w:ind w:right="-315" w:rightChars="-150"/>
        <w:jc w:val="center"/>
        <w:rPr>
          <w:rFonts w:ascii="仿宋" w:hAnsi="仿宋" w:eastAsia="仿宋" w:cs="仿宋"/>
          <w:b/>
          <w:bCs/>
          <w:color w:val="auto"/>
          <w:sz w:val="92"/>
          <w:szCs w:val="92"/>
          <w:highlight w:val="none"/>
          <w:u w:val="single"/>
          <w:vertAlign w:val="subscript"/>
        </w:rPr>
      </w:pPr>
    </w:p>
    <w:p w14:paraId="4D26148E">
      <w:pPr>
        <w:spacing w:line="400" w:lineRule="atLeast"/>
        <w:jc w:val="center"/>
        <w:rPr>
          <w:rFonts w:hint="eastAsia" w:ascii="仿宋" w:hAnsi="仿宋" w:eastAsia="仿宋" w:cs="仿宋"/>
          <w:b/>
          <w:bCs/>
          <w:color w:val="FF0000"/>
          <w:spacing w:val="-10"/>
          <w:sz w:val="52"/>
          <w:szCs w:val="52"/>
          <w:highlight w:val="none"/>
          <w:lang w:eastAsia="zh-CN"/>
        </w:rPr>
      </w:pPr>
      <w:r>
        <w:rPr>
          <w:rFonts w:hint="eastAsia" w:ascii="新宋体" w:hAnsi="新宋体" w:eastAsia="新宋体"/>
          <w:b/>
          <w:bCs w:val="0"/>
          <w:color w:val="auto"/>
          <w:sz w:val="44"/>
          <w:szCs w:val="44"/>
          <w:highlight w:val="none"/>
          <w:lang w:val="en-US" w:eastAsia="zh-CN"/>
        </w:rPr>
        <w:t>亭城玺悦里项目沙盘、品牌墙制作采购</w:t>
      </w:r>
    </w:p>
    <w:p w14:paraId="2C2B4EC3">
      <w:pPr>
        <w:spacing w:line="400" w:lineRule="atLeast"/>
        <w:jc w:val="center"/>
        <w:rPr>
          <w:rFonts w:ascii="仿宋" w:hAnsi="仿宋" w:eastAsia="仿宋" w:cs="仿宋"/>
          <w:b/>
          <w:bCs/>
          <w:color w:val="auto"/>
          <w:sz w:val="98"/>
          <w:szCs w:val="98"/>
          <w:highlight w:val="none"/>
        </w:rPr>
      </w:pPr>
    </w:p>
    <w:p w14:paraId="43C59091">
      <w:pPr>
        <w:spacing w:line="400" w:lineRule="atLeast"/>
        <w:jc w:val="center"/>
        <w:rPr>
          <w:rFonts w:ascii="仿宋" w:hAnsi="仿宋" w:eastAsia="仿宋" w:cs="仿宋"/>
          <w:b/>
          <w:bCs/>
          <w:color w:val="auto"/>
          <w:sz w:val="98"/>
          <w:szCs w:val="98"/>
          <w:highlight w:val="none"/>
        </w:rPr>
      </w:pPr>
      <w:r>
        <w:rPr>
          <w:rFonts w:hint="eastAsia" w:ascii="仿宋" w:hAnsi="仿宋" w:eastAsia="仿宋" w:cs="仿宋"/>
          <w:b/>
          <w:bCs/>
          <w:color w:val="auto"/>
          <w:sz w:val="98"/>
          <w:szCs w:val="98"/>
          <w:highlight w:val="none"/>
        </w:rPr>
        <w:t>招标文件</w:t>
      </w:r>
    </w:p>
    <w:p w14:paraId="0EA67C13">
      <w:pPr>
        <w:spacing w:line="480" w:lineRule="exact"/>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32"/>
          <w:szCs w:val="32"/>
          <w:highlight w:val="none"/>
          <w:lang w:val="en-US" w:eastAsia="zh-CN"/>
        </w:rPr>
        <w:t xml:space="preserve"> </w:t>
      </w:r>
    </w:p>
    <w:p w14:paraId="02F8BBB1">
      <w:pPr>
        <w:spacing w:line="480" w:lineRule="exact"/>
        <w:ind w:firstLine="643" w:firstLineChars="200"/>
        <w:jc w:val="center"/>
        <w:rPr>
          <w:rFonts w:ascii="仿宋" w:hAnsi="仿宋" w:eastAsia="仿宋" w:cs="仿宋"/>
          <w:b/>
          <w:bCs/>
          <w:color w:val="auto"/>
          <w:sz w:val="32"/>
          <w:szCs w:val="32"/>
          <w:highlight w:val="none"/>
        </w:rPr>
      </w:pPr>
    </w:p>
    <w:p w14:paraId="6B63BF5C">
      <w:pPr>
        <w:spacing w:line="480" w:lineRule="exact"/>
        <w:ind w:firstLine="472" w:firstLineChars="147"/>
        <w:rPr>
          <w:rFonts w:ascii="仿宋" w:hAnsi="仿宋" w:eastAsia="仿宋" w:cs="仿宋"/>
          <w:b/>
          <w:bCs/>
          <w:color w:val="auto"/>
          <w:sz w:val="32"/>
          <w:szCs w:val="32"/>
          <w:highlight w:val="none"/>
        </w:rPr>
      </w:pPr>
    </w:p>
    <w:p w14:paraId="5502D0AB">
      <w:pPr>
        <w:spacing w:line="480" w:lineRule="exact"/>
        <w:ind w:firstLine="472" w:firstLineChars="147"/>
        <w:rPr>
          <w:rFonts w:ascii="仿宋" w:hAnsi="仿宋" w:eastAsia="仿宋" w:cs="仿宋"/>
          <w:b/>
          <w:bCs/>
          <w:color w:val="auto"/>
          <w:sz w:val="32"/>
          <w:szCs w:val="32"/>
          <w:highlight w:val="none"/>
        </w:rPr>
      </w:pPr>
    </w:p>
    <w:p w14:paraId="1E00BB5E">
      <w:pPr>
        <w:spacing w:line="480" w:lineRule="exact"/>
        <w:rPr>
          <w:rFonts w:ascii="仿宋" w:hAnsi="仿宋" w:eastAsia="仿宋" w:cs="仿宋"/>
          <w:b/>
          <w:bCs/>
          <w:color w:val="auto"/>
          <w:sz w:val="32"/>
          <w:szCs w:val="32"/>
          <w:highlight w:val="none"/>
        </w:rPr>
      </w:pPr>
    </w:p>
    <w:p w14:paraId="31026193">
      <w:pPr>
        <w:spacing w:line="480" w:lineRule="exact"/>
        <w:rPr>
          <w:rFonts w:ascii="仿宋" w:hAnsi="仿宋" w:eastAsia="仿宋" w:cs="仿宋"/>
          <w:b/>
          <w:bCs/>
          <w:color w:val="auto"/>
          <w:sz w:val="32"/>
          <w:szCs w:val="32"/>
          <w:highlight w:val="none"/>
        </w:rPr>
      </w:pPr>
    </w:p>
    <w:p w14:paraId="4ECDA1C9">
      <w:pPr>
        <w:spacing w:line="480" w:lineRule="exact"/>
        <w:ind w:firstLine="472" w:firstLineChars="147"/>
        <w:rPr>
          <w:rFonts w:ascii="仿宋" w:hAnsi="仿宋" w:eastAsia="仿宋" w:cs="仿宋"/>
          <w:b/>
          <w:bCs/>
          <w:color w:val="auto"/>
          <w:sz w:val="32"/>
          <w:szCs w:val="32"/>
          <w:highlight w:val="none"/>
        </w:rPr>
      </w:pPr>
    </w:p>
    <w:p w14:paraId="028B3F6D">
      <w:pPr>
        <w:rPr>
          <w:rFonts w:ascii="仿宋" w:hAnsi="仿宋" w:eastAsia="仿宋" w:cs="仿宋"/>
          <w:color w:val="auto"/>
          <w:highlight w:val="none"/>
        </w:rPr>
      </w:pPr>
    </w:p>
    <w:p w14:paraId="6E3E66D4">
      <w:pPr>
        <w:rPr>
          <w:rFonts w:ascii="仿宋" w:hAnsi="仿宋" w:eastAsia="仿宋" w:cs="仿宋"/>
          <w:b/>
          <w:bCs/>
          <w:color w:val="auto"/>
          <w:sz w:val="32"/>
          <w:szCs w:val="32"/>
          <w:highlight w:val="none"/>
        </w:rPr>
      </w:pPr>
    </w:p>
    <w:p w14:paraId="00C339F9">
      <w:pPr>
        <w:spacing w:line="480" w:lineRule="exact"/>
        <w:rPr>
          <w:rFonts w:ascii="仿宋" w:hAnsi="仿宋" w:eastAsia="仿宋" w:cs="仿宋"/>
          <w:b/>
          <w:bCs/>
          <w:color w:val="auto"/>
          <w:sz w:val="32"/>
          <w:szCs w:val="32"/>
          <w:highlight w:val="none"/>
        </w:rPr>
      </w:pPr>
    </w:p>
    <w:p w14:paraId="73820053">
      <w:pPr>
        <w:spacing w:line="480" w:lineRule="exact"/>
        <w:ind w:firstLine="472" w:firstLineChars="147"/>
        <w:rPr>
          <w:rFonts w:ascii="仿宋" w:hAnsi="仿宋" w:eastAsia="仿宋" w:cs="仿宋"/>
          <w:b/>
          <w:bCs/>
          <w:color w:val="auto"/>
          <w:sz w:val="32"/>
          <w:szCs w:val="32"/>
          <w:highlight w:val="none"/>
        </w:rPr>
      </w:pPr>
    </w:p>
    <w:p w14:paraId="04C0E39F">
      <w:pPr>
        <w:wordWrap w:val="0"/>
        <w:spacing w:line="800" w:lineRule="exact"/>
        <w:ind w:right="480" w:firstLine="320" w:firstLineChars="100"/>
        <w:rPr>
          <w:rFonts w:ascii="宋体" w:cs="宋体"/>
          <w:color w:val="auto"/>
          <w:sz w:val="32"/>
          <w:highlight w:val="none"/>
        </w:rPr>
      </w:pPr>
      <w:r>
        <w:rPr>
          <w:rFonts w:hint="eastAsia" w:ascii="宋体" w:cs="宋体"/>
          <w:color w:val="auto"/>
          <w:sz w:val="32"/>
          <w:highlight w:val="none"/>
          <w:lang w:val="en-US" w:eastAsia="zh-CN"/>
        </w:rPr>
        <w:t>招标</w:t>
      </w:r>
      <w:r>
        <w:rPr>
          <w:rFonts w:hint="eastAsia" w:ascii="宋体" w:cs="宋体"/>
          <w:color w:val="auto"/>
          <w:sz w:val="32"/>
          <w:highlight w:val="none"/>
        </w:rPr>
        <w:t>单位</w:t>
      </w:r>
      <w:r>
        <w:rPr>
          <w:rFonts w:ascii="宋体" w:cs="宋体"/>
          <w:color w:val="auto"/>
          <w:sz w:val="32"/>
          <w:highlight w:val="none"/>
        </w:rPr>
        <w:t xml:space="preserve"> </w:t>
      </w:r>
      <w:r>
        <w:rPr>
          <w:rFonts w:hint="eastAsia" w:ascii="宋体" w:cs="宋体"/>
          <w:color w:val="auto"/>
          <w:sz w:val="32"/>
          <w:highlight w:val="none"/>
        </w:rPr>
        <w:t>：</w:t>
      </w:r>
      <w:r>
        <w:rPr>
          <w:rFonts w:ascii="宋体" w:cs="宋体"/>
          <w:color w:val="auto"/>
          <w:sz w:val="32"/>
          <w:highlight w:val="none"/>
          <w:u w:val="single"/>
        </w:rPr>
        <w:t xml:space="preserve"> </w:t>
      </w:r>
      <w:r>
        <w:rPr>
          <w:rFonts w:hint="eastAsia" w:ascii="宋体" w:cs="宋体"/>
          <w:color w:val="auto"/>
          <w:sz w:val="32"/>
          <w:highlight w:val="none"/>
          <w:u w:val="single"/>
          <w:lang w:val="en-US" w:eastAsia="zh-CN"/>
        </w:rPr>
        <w:t>滁州市鑫鼎城市更新建设运营有限公司</w:t>
      </w:r>
      <w:r>
        <w:rPr>
          <w:rFonts w:hint="eastAsia" w:ascii="宋体" w:cs="宋体"/>
          <w:color w:val="auto"/>
          <w:sz w:val="30"/>
          <w:szCs w:val="30"/>
          <w:highlight w:val="none"/>
          <w:u w:val="single"/>
          <w:lang w:val="en-US" w:eastAsia="zh-CN"/>
        </w:rPr>
        <w:t xml:space="preserve"> </w:t>
      </w:r>
      <w:r>
        <w:rPr>
          <w:rFonts w:ascii="宋体" w:cs="宋体"/>
          <w:color w:val="auto"/>
          <w:sz w:val="30"/>
          <w:szCs w:val="30"/>
          <w:highlight w:val="none"/>
          <w:u w:val="single"/>
        </w:rPr>
        <w:t xml:space="preserve"> </w:t>
      </w:r>
      <w:r>
        <w:rPr>
          <w:rFonts w:hint="eastAsia" w:ascii="宋体" w:cs="宋体"/>
          <w:color w:val="auto"/>
          <w:sz w:val="32"/>
          <w:highlight w:val="none"/>
          <w:u w:val="single"/>
        </w:rPr>
        <w:t>（盖章）</w:t>
      </w:r>
    </w:p>
    <w:p w14:paraId="1B031D12">
      <w:pPr>
        <w:spacing w:line="800" w:lineRule="exact"/>
        <w:ind w:firstLine="320" w:firstLineChars="100"/>
        <w:rPr>
          <w:rFonts w:ascii="宋体" w:cs="宋体"/>
          <w:color w:val="auto"/>
          <w:sz w:val="32"/>
          <w:highlight w:val="none"/>
          <w:u w:val="single"/>
        </w:rPr>
      </w:pPr>
      <w:r>
        <w:rPr>
          <w:rFonts w:hint="eastAsia" w:ascii="宋体" w:cs="宋体"/>
          <w:color w:val="auto"/>
          <w:sz w:val="32"/>
          <w:highlight w:val="none"/>
        </w:rPr>
        <w:t>代理机构：</w:t>
      </w:r>
      <w:r>
        <w:rPr>
          <w:rFonts w:ascii="宋体" w:cs="宋体"/>
          <w:color w:val="auto"/>
          <w:sz w:val="32"/>
          <w:highlight w:val="none"/>
          <w:u w:val="single"/>
        </w:rPr>
        <w:t xml:space="preserve">    </w:t>
      </w:r>
      <w:r>
        <w:rPr>
          <w:rFonts w:hint="eastAsia" w:ascii="宋体" w:cs="宋体"/>
          <w:color w:val="auto"/>
          <w:sz w:val="32"/>
          <w:highlight w:val="none"/>
          <w:u w:val="single"/>
        </w:rPr>
        <w:t>滁州市城投工程咨询管理有限公司</w:t>
      </w:r>
      <w:r>
        <w:rPr>
          <w:rFonts w:ascii="宋体" w:cs="宋体"/>
          <w:color w:val="auto"/>
          <w:sz w:val="32"/>
          <w:highlight w:val="none"/>
          <w:u w:val="single"/>
        </w:rPr>
        <w:t xml:space="preserve"> </w:t>
      </w:r>
      <w:r>
        <w:rPr>
          <w:rFonts w:hint="eastAsia" w:ascii="宋体" w:cs="宋体"/>
          <w:color w:val="auto"/>
          <w:sz w:val="32"/>
          <w:highlight w:val="none"/>
          <w:u w:val="single"/>
        </w:rPr>
        <w:t>（盖章）</w:t>
      </w:r>
    </w:p>
    <w:p w14:paraId="587D7B5D">
      <w:pPr>
        <w:spacing w:line="800" w:lineRule="exact"/>
        <w:jc w:val="center"/>
        <w:rPr>
          <w:rFonts w:hint="default" w:ascii="宋体" w:eastAsia="宋体" w:cs="宋体"/>
          <w:b/>
          <w:color w:val="auto"/>
          <w:spacing w:val="20"/>
          <w:sz w:val="32"/>
          <w:szCs w:val="32"/>
          <w:highlight w:val="none"/>
          <w:lang w:val="en-US" w:eastAsia="zh-CN"/>
        </w:rPr>
      </w:pPr>
      <w:r>
        <w:rPr>
          <w:rFonts w:ascii="宋体" w:cs="宋体"/>
          <w:color w:val="auto"/>
          <w:sz w:val="32"/>
          <w:highlight w:val="none"/>
          <w:u w:val="single"/>
        </w:rPr>
        <w:t>202</w:t>
      </w:r>
      <w:r>
        <w:rPr>
          <w:rFonts w:hint="eastAsia" w:ascii="宋体" w:cs="宋体"/>
          <w:color w:val="auto"/>
          <w:sz w:val="32"/>
          <w:highlight w:val="none"/>
          <w:u w:val="single"/>
          <w:lang w:val="en-US" w:eastAsia="zh-CN"/>
        </w:rPr>
        <w:t>4</w:t>
      </w:r>
      <w:r>
        <w:rPr>
          <w:rFonts w:hint="eastAsia" w:ascii="宋体" w:cs="宋体"/>
          <w:color w:val="auto"/>
          <w:sz w:val="32"/>
          <w:highlight w:val="none"/>
        </w:rPr>
        <w:t>年</w:t>
      </w:r>
      <w:r>
        <w:rPr>
          <w:rFonts w:hint="eastAsia" w:ascii="宋体" w:cs="宋体"/>
          <w:color w:val="auto"/>
          <w:sz w:val="32"/>
          <w:highlight w:val="none"/>
          <w:u w:val="single"/>
          <w:lang w:val="en-US" w:eastAsia="zh-CN"/>
        </w:rPr>
        <w:t xml:space="preserve"> 7 </w:t>
      </w:r>
      <w:r>
        <w:rPr>
          <w:rFonts w:hint="eastAsia" w:ascii="宋体" w:cs="宋体"/>
          <w:color w:val="auto"/>
          <w:sz w:val="32"/>
          <w:highlight w:val="none"/>
        </w:rPr>
        <w:t>月</w:t>
      </w:r>
      <w:r>
        <w:rPr>
          <w:rFonts w:hint="eastAsia" w:ascii="宋体" w:cs="宋体"/>
          <w:color w:val="auto"/>
          <w:sz w:val="32"/>
          <w:highlight w:val="none"/>
          <w:u w:val="single"/>
          <w:lang w:val="en-US" w:eastAsia="zh-CN"/>
        </w:rPr>
        <w:t xml:space="preserve"> 29 </w:t>
      </w:r>
      <w:r>
        <w:rPr>
          <w:rFonts w:hint="eastAsia" w:ascii="宋体" w:cs="宋体"/>
          <w:color w:val="auto"/>
          <w:sz w:val="32"/>
          <w:highlight w:val="none"/>
          <w:lang w:val="en-US" w:eastAsia="zh-CN"/>
        </w:rPr>
        <w:t>日</w:t>
      </w:r>
    </w:p>
    <w:p w14:paraId="6ECB5CE6">
      <w:pPr>
        <w:rPr>
          <w:rFonts w:ascii="宋体"/>
          <w:color w:val="auto"/>
          <w:highlight w:val="none"/>
        </w:rPr>
        <w:sectPr>
          <w:headerReference r:id="rId4" w:type="first"/>
          <w:footerReference r:id="rId6" w:type="first"/>
          <w:headerReference r:id="rId3" w:type="default"/>
          <w:footerReference r:id="rId5" w:type="default"/>
          <w:pgSz w:w="11906" w:h="16838"/>
          <w:pgMar w:top="935" w:right="1106" w:bottom="936" w:left="1259" w:header="680" w:footer="680" w:gutter="0"/>
          <w:cols w:space="0" w:num="1"/>
          <w:titlePg/>
          <w:docGrid w:type="lines" w:linePitch="318" w:charSpace="0"/>
        </w:sectPr>
      </w:pPr>
    </w:p>
    <w:p w14:paraId="5ABC1EFD">
      <w:pPr>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w:t>
      </w:r>
      <w:r>
        <w:rPr>
          <w:rFonts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rPr>
        <w:t>录</w:t>
      </w:r>
    </w:p>
    <w:p w14:paraId="780A7AF3">
      <w:pPr>
        <w:pStyle w:val="33"/>
        <w:numPr>
          <w:ilvl w:val="0"/>
          <w:numId w:val="0"/>
        </w:numPr>
        <w:tabs>
          <w:tab w:val="right" w:leader="dot" w:pos="9541"/>
          <w:tab w:val="clear" w:pos="8296"/>
        </w:tabs>
        <w:spacing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rPr>
        <w:t>投标须知前附表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lang w:val="en-US" w:eastAsia="zh-CN"/>
        </w:rPr>
        <w:t>1</w:t>
      </w:r>
    </w:p>
    <w:p w14:paraId="59F99378">
      <w:pPr>
        <w:pStyle w:val="33"/>
        <w:numPr>
          <w:ilvl w:val="0"/>
          <w:numId w:val="0"/>
        </w:numPr>
        <w:tabs>
          <w:tab w:val="right" w:leader="dot" w:pos="9541"/>
          <w:tab w:val="clear" w:pos="8296"/>
        </w:tabs>
        <w:spacing w:line="48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"_Toc25340" </w:instrText>
      </w:r>
      <w:r>
        <w:rPr>
          <w:rFonts w:hint="eastAsia" w:ascii="宋体" w:hAnsi="宋体" w:eastAsia="宋体" w:cs="宋体"/>
          <w:color w:val="auto"/>
          <w:highlight w:val="none"/>
        </w:rPr>
        <w:fldChar w:fldCharType="separate"/>
      </w: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章  投标须知</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fldChar w:fldCharType="end"/>
      </w:r>
    </w:p>
    <w:p w14:paraId="5A57E370">
      <w:pPr>
        <w:pStyle w:val="33"/>
        <w:tabs>
          <w:tab w:val="right" w:leader="dot" w:pos="9541"/>
          <w:tab w:val="clear" w:pos="8296"/>
        </w:tabs>
        <w:spacing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第二章  评标办法</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lang w:val="en-US" w:eastAsia="zh-CN"/>
        </w:rPr>
        <w:t>9</w:t>
      </w:r>
    </w:p>
    <w:p w14:paraId="65F2619E">
      <w:pPr>
        <w:pStyle w:val="33"/>
        <w:tabs>
          <w:tab w:val="right" w:leader="dot" w:pos="9541"/>
          <w:tab w:val="clear" w:pos="8296"/>
        </w:tabs>
        <w:spacing w:line="480" w:lineRule="auto"/>
        <w:rPr>
          <w:rFonts w:hint="eastAsia" w:ascii="宋体" w:hAnsi="宋体" w:eastAsia="宋体" w:cs="宋体"/>
          <w:b w:val="0"/>
          <w:bC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"_Toc12737" </w:instrText>
      </w:r>
      <w:r>
        <w:rPr>
          <w:rFonts w:hint="eastAsia" w:ascii="宋体" w:hAnsi="宋体" w:eastAsia="宋体" w:cs="宋体"/>
          <w:color w:val="auto"/>
          <w:highlight w:val="none"/>
        </w:rPr>
        <w:fldChar w:fldCharType="separate"/>
      </w: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 xml:space="preserve">章  </w:t>
      </w:r>
      <w:r>
        <w:rPr>
          <w:rFonts w:hint="eastAsia" w:ascii="宋体" w:hAnsi="宋体" w:eastAsia="宋体" w:cs="宋体"/>
          <w:b w:val="0"/>
          <w:bCs w:val="0"/>
          <w:color w:val="auto"/>
          <w:sz w:val="24"/>
          <w:szCs w:val="24"/>
          <w:highlight w:val="none"/>
          <w:lang w:val="en-US" w:eastAsia="zh-CN"/>
        </w:rPr>
        <w:t>服务要求</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_Toc12737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9</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08945AE7">
      <w:pPr>
        <w:pStyle w:val="33"/>
        <w:tabs>
          <w:tab w:val="right" w:leader="dot" w:pos="9541"/>
          <w:tab w:val="clear" w:pos="8296"/>
        </w:tabs>
        <w:spacing w:line="480" w:lineRule="auto"/>
        <w:rPr>
          <w:rFonts w:hint="eastAsia" w:ascii="宋体" w:hAnsi="宋体" w:eastAsia="宋体" w:cs="宋体"/>
          <w:b w:val="0"/>
          <w:bC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"_Toc12737" </w:instrText>
      </w:r>
      <w:r>
        <w:rPr>
          <w:rFonts w:hint="eastAsia" w:ascii="宋体" w:hAnsi="宋体" w:eastAsia="宋体" w:cs="宋体"/>
          <w:color w:val="auto"/>
          <w:highlight w:val="none"/>
        </w:rPr>
        <w:fldChar w:fldCharType="separate"/>
      </w:r>
      <w:r>
        <w:rPr>
          <w:rFonts w:hint="eastAsia" w:ascii="宋体" w:hAnsi="宋体" w:eastAsia="宋体" w:cs="宋体"/>
          <w:b w:val="0"/>
          <w:bCs w:val="0"/>
          <w:color w:val="auto"/>
          <w:sz w:val="24"/>
          <w:szCs w:val="24"/>
          <w:highlight w:val="none"/>
        </w:rPr>
        <w:t>第</w:t>
      </w:r>
      <w:r>
        <w:rPr>
          <w:rFonts w:hint="eastAsia"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章  合同条款</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_Toc12737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9</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36AC30B">
      <w:pPr>
        <w:pStyle w:val="33"/>
        <w:tabs>
          <w:tab w:val="right" w:leader="dot" w:pos="9541"/>
          <w:tab w:val="clear" w:pos="8296"/>
        </w:tabs>
        <w:spacing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"_Toc31238" </w:instrText>
      </w:r>
      <w:r>
        <w:rPr>
          <w:rFonts w:hint="eastAsia" w:ascii="宋体" w:hAnsi="宋体" w:eastAsia="宋体" w:cs="宋体"/>
          <w:color w:val="auto"/>
          <w:highlight w:val="none"/>
        </w:rPr>
        <w:fldChar w:fldCharType="separate"/>
      </w:r>
      <w:r>
        <w:rPr>
          <w:rFonts w:hint="eastAsia" w:ascii="宋体" w:hAnsi="宋体" w:eastAsia="宋体" w:cs="宋体"/>
          <w:b w:val="0"/>
          <w:bCs w:val="0"/>
          <w:color w:val="auto"/>
          <w:sz w:val="24"/>
          <w:szCs w:val="24"/>
          <w:highlight w:val="none"/>
          <w:lang w:val="en-US" w:eastAsia="zh-CN"/>
        </w:rPr>
        <w:t>第五章</w:t>
      </w:r>
      <w:r>
        <w:rPr>
          <w:rFonts w:hint="eastAsia" w:ascii="宋体" w:hAnsi="宋体" w:eastAsia="宋体" w:cs="宋体"/>
          <w:b w:val="0"/>
          <w:bCs w:val="0"/>
          <w:color w:val="auto"/>
          <w:sz w:val="24"/>
          <w:szCs w:val="24"/>
          <w:highlight w:val="none"/>
        </w:rPr>
        <w:t xml:space="preserve">  投标文件格式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lang w:val="en-US" w:eastAsia="zh-CN"/>
        </w:rPr>
        <w:t>8</w:t>
      </w:r>
    </w:p>
    <w:p w14:paraId="3B1432DB">
      <w:pPr>
        <w:pStyle w:val="33"/>
        <w:tabs>
          <w:tab w:val="right" w:leader="dot" w:pos="9541"/>
          <w:tab w:val="clear" w:pos="8296"/>
        </w:tabs>
        <w:spacing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"_Toc23863" </w:instrText>
      </w:r>
      <w:r>
        <w:rPr>
          <w:rFonts w:hint="eastAsia" w:ascii="宋体" w:hAnsi="宋体" w:eastAsia="宋体" w:cs="宋体"/>
          <w:color w:val="auto"/>
          <w:highlight w:val="none"/>
        </w:rPr>
        <w:fldChar w:fldCharType="separate"/>
      </w:r>
      <w:r>
        <w:rPr>
          <w:rFonts w:hint="eastAsia" w:ascii="宋体" w:hAnsi="宋体" w:eastAsia="宋体" w:cs="宋体"/>
          <w:b w:val="0"/>
          <w:bCs w:val="0"/>
          <w:color w:val="auto"/>
          <w:sz w:val="24"/>
          <w:szCs w:val="24"/>
          <w:highlight w:val="none"/>
        </w:rPr>
        <w:t>第</w:t>
      </w:r>
      <w:r>
        <w:rPr>
          <w:rFonts w:hint="eastAsia"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章   招标单位、招标代理机构对本招标文件的确认</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fldChar w:fldCharType="end"/>
      </w:r>
      <w:r>
        <w:rPr>
          <w:rFonts w:hint="eastAsia" w:hAnsi="宋体" w:eastAsia="宋体" w:cs="宋体"/>
          <w:b w:val="0"/>
          <w:bCs w:val="0"/>
          <w:color w:val="auto"/>
          <w:sz w:val="24"/>
          <w:szCs w:val="24"/>
          <w:highlight w:val="none"/>
          <w:lang w:val="en-US" w:eastAsia="zh-CN"/>
        </w:rPr>
        <w:t>1</w:t>
      </w:r>
    </w:p>
    <w:p w14:paraId="77618CF7">
      <w:pPr>
        <w:pStyle w:val="6"/>
        <w:spacing w:before="0" w:after="0" w:line="480" w:lineRule="auto"/>
        <w:jc w:val="both"/>
        <w:rPr>
          <w:rFonts w:hint="default" w:ascii="仿宋" w:eastAsia="宋体" w:cs="仿宋"/>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0E2A743D">
      <w:pPr>
        <w:rPr>
          <w:color w:val="auto"/>
          <w:highlight w:val="none"/>
        </w:rPr>
        <w:sectPr>
          <w:footerReference r:id="rId8" w:type="first"/>
          <w:footerReference r:id="rId7" w:type="default"/>
          <w:pgSz w:w="11906" w:h="16838"/>
          <w:pgMar w:top="935" w:right="1106" w:bottom="936"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6EF5A2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 w:val="36"/>
          <w:szCs w:val="36"/>
        </w:rPr>
      </w:pPr>
      <w:bookmarkStart w:id="0" w:name="_Toc1320"/>
      <w:r>
        <w:rPr>
          <w:rFonts w:hint="eastAsia"/>
          <w:sz w:val="36"/>
          <w:szCs w:val="36"/>
        </w:rPr>
        <w:t>亭城玺悦里项目沙盘、品牌墙制作采购招标公告信息</w:t>
      </w:r>
    </w:p>
    <w:tbl>
      <w:tblPr>
        <w:tblStyle w:val="47"/>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675"/>
        <w:gridCol w:w="2444"/>
        <w:gridCol w:w="7"/>
        <w:gridCol w:w="400"/>
        <w:gridCol w:w="2248"/>
        <w:gridCol w:w="3000"/>
      </w:tblGrid>
      <w:tr w14:paraId="6A81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3CF265DB">
            <w:pPr>
              <w:adjustRightInd w:val="0"/>
              <w:snapToGrid w:val="0"/>
              <w:spacing w:line="440" w:lineRule="exact"/>
              <w:jc w:val="center"/>
              <w:rPr>
                <w:rFonts w:hint="eastAsia" w:ascii="宋体" w:hAnsi="宋体" w:cs="宋体"/>
                <w:bCs/>
                <w:color w:val="auto"/>
                <w:kern w:val="1"/>
                <w:szCs w:val="21"/>
              </w:rPr>
            </w:pPr>
            <w:r>
              <w:rPr>
                <w:rFonts w:ascii="宋体" w:hAnsi="宋体"/>
                <w:color w:val="auto"/>
                <w:szCs w:val="21"/>
              </w:rPr>
              <w:t>招标</w:t>
            </w:r>
            <w:r>
              <w:rPr>
                <w:rFonts w:hint="eastAsia" w:ascii="宋体" w:hAnsi="宋体" w:cs="宋体"/>
                <w:bCs/>
                <w:color w:val="auto"/>
                <w:kern w:val="1"/>
                <w:szCs w:val="21"/>
              </w:rPr>
              <w:t>项目</w:t>
            </w:r>
            <w:r>
              <w:rPr>
                <w:rFonts w:hint="eastAsia" w:ascii="宋体" w:hAnsi="宋体" w:cs="宋体"/>
                <w:color w:val="auto"/>
                <w:kern w:val="0"/>
                <w:szCs w:val="21"/>
              </w:rPr>
              <w:t>名称</w:t>
            </w:r>
          </w:p>
        </w:tc>
        <w:tc>
          <w:tcPr>
            <w:tcW w:w="8099" w:type="dxa"/>
            <w:gridSpan w:val="5"/>
            <w:noWrap w:val="0"/>
            <w:vAlign w:val="top"/>
          </w:tcPr>
          <w:p w14:paraId="7B4433DD">
            <w:pPr>
              <w:adjustRightInd w:val="0"/>
              <w:snapToGrid w:val="0"/>
              <w:spacing w:line="440" w:lineRule="exact"/>
              <w:jc w:val="left"/>
              <w:rPr>
                <w:rFonts w:hint="default" w:ascii="宋体" w:hAnsi="宋体" w:eastAsia="宋体" w:cs="宋体"/>
                <w:bCs/>
                <w:color w:val="auto"/>
                <w:kern w:val="1"/>
                <w:szCs w:val="21"/>
                <w:lang w:val="en-US" w:eastAsia="zh-CN"/>
              </w:rPr>
            </w:pPr>
            <w:r>
              <w:rPr>
                <w:rFonts w:hint="default" w:ascii="宋体" w:hAnsi="宋体" w:eastAsia="宋体" w:cs="宋体"/>
                <w:bCs/>
                <w:color w:val="auto"/>
                <w:kern w:val="1"/>
                <w:szCs w:val="21"/>
                <w:lang w:val="en-US" w:eastAsia="zh-CN"/>
              </w:rPr>
              <w:t>亭城玺悦里项目沙盘、品牌墙制作采购</w:t>
            </w:r>
          </w:p>
        </w:tc>
      </w:tr>
      <w:tr w14:paraId="298C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097EF55B">
            <w:pPr>
              <w:widowControl/>
              <w:adjustRightInd w:val="0"/>
              <w:snapToGrid w:val="0"/>
              <w:spacing w:line="440" w:lineRule="exact"/>
              <w:jc w:val="center"/>
              <w:rPr>
                <w:rFonts w:hint="eastAsia" w:ascii="宋体" w:hAnsi="宋体" w:cs="宋体"/>
                <w:color w:val="auto"/>
                <w:kern w:val="0"/>
                <w:szCs w:val="21"/>
              </w:rPr>
            </w:pPr>
            <w:r>
              <w:rPr>
                <w:rFonts w:hint="eastAsia" w:ascii="宋体" w:hAnsi="宋体" w:cs="宋体"/>
                <w:color w:val="auto"/>
                <w:kern w:val="0"/>
                <w:szCs w:val="21"/>
              </w:rPr>
              <w:t>招标方式</w:t>
            </w:r>
          </w:p>
        </w:tc>
        <w:tc>
          <w:tcPr>
            <w:tcW w:w="8099" w:type="dxa"/>
            <w:gridSpan w:val="5"/>
            <w:noWrap w:val="0"/>
            <w:vAlign w:val="center"/>
          </w:tcPr>
          <w:p w14:paraId="2EE7391A">
            <w:pPr>
              <w:widowControl/>
              <w:adjustRightInd w:val="0"/>
              <w:snapToGrid w:val="0"/>
              <w:spacing w:line="440" w:lineRule="exact"/>
              <w:jc w:val="left"/>
              <w:rPr>
                <w:rFonts w:ascii="宋体" w:hAnsi="宋体" w:cs="宋体"/>
                <w:color w:val="auto"/>
                <w:kern w:val="0"/>
                <w:szCs w:val="21"/>
              </w:rPr>
            </w:pPr>
            <w:r>
              <w:rPr>
                <w:rFonts w:hint="eastAsia" w:ascii="宋体" w:hAnsi="宋体" w:cs="宋体"/>
                <w:color w:val="auto"/>
                <w:kern w:val="0"/>
                <w:szCs w:val="21"/>
              </w:rPr>
              <w:t>自行公开招标</w:t>
            </w:r>
          </w:p>
        </w:tc>
      </w:tr>
      <w:tr w14:paraId="66E4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147" w:type="dxa"/>
            <w:gridSpan w:val="2"/>
            <w:noWrap w:val="0"/>
            <w:vAlign w:val="center"/>
          </w:tcPr>
          <w:p w14:paraId="531A8F55">
            <w:pPr>
              <w:widowControl/>
              <w:adjustRightInd w:val="0"/>
              <w:snapToGrid w:val="0"/>
              <w:spacing w:line="440" w:lineRule="exact"/>
              <w:jc w:val="center"/>
              <w:rPr>
                <w:rFonts w:hint="eastAsia" w:ascii="宋体" w:hAnsi="宋体" w:cs="宋体"/>
                <w:color w:val="auto"/>
                <w:kern w:val="0"/>
                <w:szCs w:val="21"/>
              </w:rPr>
            </w:pPr>
            <w:r>
              <w:rPr>
                <w:rFonts w:hint="eastAsia" w:ascii="宋体" w:hAnsi="宋体" w:cs="宋体"/>
                <w:color w:val="auto"/>
                <w:kern w:val="0"/>
                <w:szCs w:val="21"/>
              </w:rPr>
              <w:t>投标人资格要求</w:t>
            </w:r>
          </w:p>
        </w:tc>
        <w:tc>
          <w:tcPr>
            <w:tcW w:w="8099" w:type="dxa"/>
            <w:gridSpan w:val="5"/>
            <w:noWrap w:val="0"/>
            <w:vAlign w:val="center"/>
          </w:tcPr>
          <w:p w14:paraId="5B3B006B">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default" w:ascii="宋体" w:hAnsi="宋体" w:eastAsia="宋体" w:cs="宋体"/>
                <w:color w:val="auto"/>
                <w:szCs w:val="21"/>
                <w:lang w:val="en-US" w:eastAsia="zh-CN"/>
              </w:rPr>
              <w:t>投标人承担过房地产市场合作项目（提供合同复印件加盖</w:t>
            </w:r>
            <w:r>
              <w:rPr>
                <w:rFonts w:hint="eastAsia" w:ascii="宋体" w:hAnsi="宋体" w:cs="宋体"/>
                <w:color w:val="auto"/>
                <w:szCs w:val="21"/>
                <w:lang w:val="en-US" w:eastAsia="zh-CN"/>
              </w:rPr>
              <w:t>投标人</w:t>
            </w:r>
            <w:r>
              <w:rPr>
                <w:rFonts w:hint="default" w:ascii="宋体" w:hAnsi="宋体" w:eastAsia="宋体" w:cs="宋体"/>
                <w:color w:val="auto"/>
                <w:szCs w:val="21"/>
                <w:lang w:val="en-US" w:eastAsia="zh-CN"/>
              </w:rPr>
              <w:t>公章，</w:t>
            </w:r>
            <w:r>
              <w:rPr>
                <w:rFonts w:hint="eastAsia" w:ascii="宋体" w:hAnsi="宋体" w:cs="宋体"/>
                <w:color w:val="auto"/>
                <w:szCs w:val="21"/>
                <w:lang w:val="en-US" w:eastAsia="zh-CN"/>
              </w:rPr>
              <w:t>合同</w:t>
            </w:r>
            <w:r>
              <w:rPr>
                <w:rFonts w:hint="default" w:ascii="宋体" w:hAnsi="宋体" w:eastAsia="宋体" w:cs="宋体"/>
                <w:color w:val="auto"/>
                <w:szCs w:val="21"/>
                <w:lang w:val="en-US" w:eastAsia="zh-CN"/>
              </w:rPr>
              <w:t>原件备查）；</w:t>
            </w:r>
          </w:p>
          <w:p w14:paraId="56CCC591">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2.自2021年6月以来（时间以合同签订时间为准），投标人承担过合同金额18万元及以上的类似项目业绩（合同内容至少有2项类别与采购内容相符合，提供合同复印件加盖</w:t>
            </w:r>
            <w:r>
              <w:rPr>
                <w:rFonts w:hint="eastAsia" w:ascii="宋体" w:hAnsi="宋体" w:cs="宋体"/>
                <w:color w:val="auto"/>
                <w:szCs w:val="21"/>
                <w:lang w:val="en-US" w:eastAsia="zh-CN"/>
              </w:rPr>
              <w:t>投标人</w:t>
            </w:r>
            <w:r>
              <w:rPr>
                <w:rFonts w:hint="eastAsia" w:ascii="宋体" w:hAnsi="宋体" w:eastAsia="宋体" w:cs="宋体"/>
                <w:color w:val="auto"/>
                <w:szCs w:val="21"/>
                <w:lang w:val="en-US" w:eastAsia="zh-CN"/>
              </w:rPr>
              <w:t>公章，原件备查）</w:t>
            </w:r>
            <w:r>
              <w:rPr>
                <w:rFonts w:hint="default" w:ascii="宋体" w:hAnsi="宋体" w:eastAsia="宋体" w:cs="宋体"/>
                <w:color w:val="auto"/>
                <w:szCs w:val="21"/>
                <w:lang w:val="en-US" w:eastAsia="zh-CN"/>
              </w:rPr>
              <w:t>；</w:t>
            </w:r>
          </w:p>
          <w:p w14:paraId="327ADD06">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w:t>
            </w:r>
            <w:r>
              <w:rPr>
                <w:rFonts w:hint="eastAsia" w:ascii="宋体" w:hAnsi="宋体" w:eastAsia="宋体" w:cs="宋体"/>
                <w:color w:val="auto"/>
                <w:szCs w:val="21"/>
              </w:rPr>
              <w:t>投标人存在以下情形之一的，不得被确定为中标人：</w:t>
            </w:r>
          </w:p>
          <w:p w14:paraId="42903C80">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①投标人被人民法院列入失信被执行人的；</w:t>
            </w:r>
          </w:p>
          <w:p w14:paraId="6A02EEFE">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②投标人或其法定代表人或拟派项目经理（建造师）前三年有行贿犯罪行为的；</w:t>
            </w:r>
          </w:p>
          <w:p w14:paraId="3275F7ED">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③投标人被市场监督管理部门列入经营异常名录或者严重违法企业名单，且未被移除的；</w:t>
            </w:r>
          </w:p>
          <w:p w14:paraId="53141501">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④投标人被税务部门列入重大税收违法案件当事人的；</w:t>
            </w:r>
          </w:p>
          <w:p w14:paraId="0F62D7DB">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⑤在“信用中国”网站上披露仍在公示期的严重失信行为的；</w:t>
            </w:r>
          </w:p>
          <w:p w14:paraId="47E7C675">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⑥被滁州市县两级各行业主管部门及公管部门取消在一定期限内的投标资格且在取消期限内的；</w:t>
            </w:r>
          </w:p>
          <w:p w14:paraId="61A357DB">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⑦被滁州市县两级公管部门记入不良行为记录或者信用信息记录，且在披露期内的。</w:t>
            </w:r>
          </w:p>
          <w:p w14:paraId="6AAF99C6">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⑧被人力资源社会保障主管部门列入拖欠农民工工资‘黑名单’或因拖欠农民工工资被县级及以上有关行政主管部门限制投标资格且在限制期限内的。</w:t>
            </w:r>
          </w:p>
          <w:p w14:paraId="62AD16E7">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⑨被列入省级、市级农民工工资支付异常名录的施工企业，限制其参加全市范围内房建和市政工程建设项目投标；列入县级异常名录的施工企业，限制其参加本行政区域内房建和市政建设项目投标。</w:t>
            </w:r>
          </w:p>
          <w:p w14:paraId="6C4B6C1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w:t>
            </w:r>
            <w:r>
              <w:rPr>
                <w:rFonts w:hint="eastAsia" w:ascii="宋体" w:hAnsi="宋体" w:eastAsia="宋体" w:cs="宋体"/>
                <w:color w:val="auto"/>
                <w:szCs w:val="21"/>
              </w:rPr>
              <w:t>投标人所属分公司、办事处等分支机构存在第</w:t>
            </w:r>
            <w:r>
              <w:rPr>
                <w:rFonts w:hint="eastAsia" w:ascii="宋体" w:hAnsi="宋体" w:cs="宋体"/>
                <w:color w:val="auto"/>
                <w:szCs w:val="21"/>
                <w:lang w:val="en-US" w:eastAsia="zh-CN"/>
              </w:rPr>
              <w:t>3</w:t>
            </w:r>
            <w:r>
              <w:rPr>
                <w:rFonts w:hint="eastAsia" w:ascii="宋体" w:hAnsi="宋体" w:eastAsia="宋体" w:cs="宋体"/>
                <w:color w:val="auto"/>
                <w:szCs w:val="21"/>
              </w:rPr>
              <w:t>条信誉要求①-⑨项情形之一的，接受其被确定为中标人。</w:t>
            </w:r>
          </w:p>
          <w:p w14:paraId="08B4D5EF">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备注：第</w:t>
            </w:r>
            <w:r>
              <w:rPr>
                <w:rFonts w:hint="eastAsia" w:ascii="宋体" w:hAnsi="宋体" w:cs="宋体"/>
                <w:color w:val="auto"/>
                <w:szCs w:val="21"/>
                <w:lang w:val="en-US" w:eastAsia="zh-CN"/>
              </w:rPr>
              <w:t>3.4</w:t>
            </w:r>
            <w:r>
              <w:rPr>
                <w:rFonts w:hint="eastAsia" w:ascii="宋体" w:hAnsi="宋体" w:eastAsia="宋体" w:cs="宋体"/>
                <w:color w:val="auto"/>
                <w:szCs w:val="21"/>
              </w:rPr>
              <w:t>条按照附件1“关于联合惩戒失信行为加强信用查询管理的通知”查询或承诺。</w:t>
            </w:r>
          </w:p>
        </w:tc>
      </w:tr>
      <w:tr w14:paraId="1C98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6AD8A6F1">
            <w:pPr>
              <w:widowControl/>
              <w:adjustRightInd w:val="0"/>
              <w:snapToGrid w:val="0"/>
              <w:spacing w:line="440" w:lineRule="exact"/>
              <w:jc w:val="center"/>
              <w:rPr>
                <w:rFonts w:hint="eastAsia" w:ascii="宋体" w:hAnsi="宋体" w:cs="宋体"/>
                <w:color w:val="auto"/>
                <w:kern w:val="0"/>
                <w:szCs w:val="21"/>
              </w:rPr>
            </w:pPr>
            <w:r>
              <w:rPr>
                <w:rFonts w:hint="eastAsia" w:ascii="宋体" w:hAnsi="宋体" w:cs="宋体"/>
                <w:color w:val="auto"/>
                <w:kern w:val="0"/>
                <w:szCs w:val="21"/>
              </w:rPr>
              <w:t>是否接受联合体投标</w:t>
            </w:r>
          </w:p>
        </w:tc>
        <w:tc>
          <w:tcPr>
            <w:tcW w:w="8099" w:type="dxa"/>
            <w:gridSpan w:val="5"/>
            <w:noWrap w:val="0"/>
            <w:vAlign w:val="center"/>
          </w:tcPr>
          <w:p w14:paraId="0FF0EFE5">
            <w:pPr>
              <w:widowControl/>
              <w:adjustRightInd w:val="0"/>
              <w:snapToGrid w:val="0"/>
              <w:spacing w:line="440" w:lineRule="exact"/>
              <w:jc w:val="left"/>
              <w:rPr>
                <w:rFonts w:ascii="宋体" w:hAnsi="宋体"/>
                <w:color w:val="auto"/>
              </w:rPr>
            </w:pPr>
            <w:r>
              <w:rPr>
                <w:rFonts w:hint="eastAsia"/>
                <w:color w:val="auto"/>
              </w:rPr>
              <w:t>不接受</w:t>
            </w:r>
          </w:p>
        </w:tc>
      </w:tr>
      <w:tr w14:paraId="3263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5746FA5D">
            <w:pPr>
              <w:widowControl/>
              <w:adjustRightInd w:val="0"/>
              <w:snapToGrid w:val="0"/>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招标项目规模</w:t>
            </w:r>
          </w:p>
        </w:tc>
        <w:tc>
          <w:tcPr>
            <w:tcW w:w="8099" w:type="dxa"/>
            <w:gridSpan w:val="5"/>
            <w:noWrap w:val="0"/>
            <w:vAlign w:val="center"/>
          </w:tcPr>
          <w:p w14:paraId="315CFFEC">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一）营销中心子母沙盘：沙盘尺寸3.7m*5.7m（其中本案尺寸2.14m*3.7m，区位尺寸3.56m*3.7m）。要求：此沙盘模型的制作风格倾向于现代风格，要求简洁、大气、突出高端项目形象。水系采用真水雾化系统制作，底座采用天然大理石底座。</w:t>
            </w:r>
          </w:p>
          <w:p w14:paraId="40790553">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品牌墙：尺寸暂定：8.0m*2.2m。品牌墙要求：墙面整体轻钢龙骨框架，木饰面打底，面层不锈钢电镀色;字体迷你发光字，水晶字，部分字体丝印;精工不锈钢发光地图;画面超薄迷你灯箱，正背发光;墙面造型及部分线条发光。材质颜色为亚克力石。</w:t>
            </w:r>
          </w:p>
          <w:p w14:paraId="4734F37B">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（三）临展沙盘：尺寸暂定为：1.2m*1.8m，沙盘建筑采用整体水晶体制作，所有景观、路网、草地采用写意风格制作。</w:t>
            </w:r>
          </w:p>
          <w:p w14:paraId="74727256">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项目总金额约24.35万元：其中临展沙盘约2.33万元；营销中心子母沙盘约16.24万元；品牌墙约5.78万元。</w:t>
            </w:r>
          </w:p>
        </w:tc>
      </w:tr>
      <w:tr w14:paraId="63EF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4429D1EF">
            <w:pPr>
              <w:widowControl/>
              <w:adjustRightInd w:val="0"/>
              <w:snapToGrid w:val="0"/>
              <w:spacing w:line="440" w:lineRule="exact"/>
              <w:jc w:val="center"/>
              <w:rPr>
                <w:rFonts w:hint="eastAsia" w:ascii="宋体" w:hAnsi="宋体" w:cs="宋体"/>
                <w:color w:val="auto"/>
                <w:kern w:val="0"/>
                <w:szCs w:val="21"/>
              </w:rPr>
            </w:pPr>
            <w:r>
              <w:rPr>
                <w:rFonts w:hint="eastAsia" w:ascii="宋体" w:hAnsi="宋体" w:cs="宋体"/>
                <w:color w:val="auto"/>
                <w:kern w:val="0"/>
                <w:szCs w:val="21"/>
              </w:rPr>
              <w:t>招标项目内容范围</w:t>
            </w:r>
          </w:p>
        </w:tc>
        <w:tc>
          <w:tcPr>
            <w:tcW w:w="8099" w:type="dxa"/>
            <w:gridSpan w:val="5"/>
            <w:noWrap w:val="0"/>
            <w:vAlign w:val="center"/>
          </w:tcPr>
          <w:p w14:paraId="414E1B4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本次招标内容为亭城玺悦里营销招采，具体招采内容为临展沙盘、子母沙盘、品牌墙</w:t>
            </w:r>
            <w:r>
              <w:rPr>
                <w:rFonts w:hint="eastAsia" w:ascii="宋体" w:hAnsi="宋体" w:eastAsia="宋体" w:cs="宋体"/>
                <w:color w:val="auto"/>
                <w:szCs w:val="21"/>
                <w:lang w:val="en-US" w:eastAsia="zh-CN"/>
              </w:rPr>
              <w:t>等</w:t>
            </w:r>
          </w:p>
        </w:tc>
      </w:tr>
      <w:tr w14:paraId="5C17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5BB9A91F">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投标文件获取时间</w:t>
            </w:r>
          </w:p>
        </w:tc>
        <w:tc>
          <w:tcPr>
            <w:tcW w:w="8099" w:type="dxa"/>
            <w:gridSpan w:val="5"/>
            <w:noWrap w:val="0"/>
            <w:vAlign w:val="center"/>
          </w:tcPr>
          <w:p w14:paraId="5A827322">
            <w:pPr>
              <w:keepNext w:val="0"/>
              <w:keepLines w:val="0"/>
              <w:pageBreakBefore w:val="0"/>
              <w:widowControl/>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2024年</w:t>
            </w:r>
            <w:r>
              <w:rPr>
                <w:rFonts w:hint="eastAsia" w:ascii="宋体" w:hAnsi="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lang w:val="en-US" w:eastAsia="zh-CN"/>
              </w:rPr>
              <w:t>月</w:t>
            </w:r>
            <w:r>
              <w:rPr>
                <w:rFonts w:hint="eastAsia" w:ascii="宋体" w:hAnsi="宋体" w:cs="宋体"/>
                <w:b/>
                <w:bCs/>
                <w:color w:val="auto"/>
                <w:kern w:val="0"/>
                <w:sz w:val="21"/>
                <w:szCs w:val="21"/>
                <w:highlight w:val="none"/>
                <w:lang w:val="en-US" w:eastAsia="zh-CN"/>
              </w:rPr>
              <w:t>29</w:t>
            </w:r>
            <w:r>
              <w:rPr>
                <w:rFonts w:hint="eastAsia" w:ascii="宋体" w:hAnsi="宋体" w:eastAsia="宋体" w:cs="宋体"/>
                <w:b/>
                <w:bCs/>
                <w:color w:val="auto"/>
                <w:kern w:val="0"/>
                <w:sz w:val="21"/>
                <w:szCs w:val="21"/>
                <w:highlight w:val="none"/>
                <w:lang w:val="en-US" w:eastAsia="zh-CN"/>
              </w:rPr>
              <w:t>日-2024年</w:t>
            </w:r>
            <w:r>
              <w:rPr>
                <w:rFonts w:hint="eastAsia" w:ascii="宋体" w:hAnsi="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lang w:val="en-US" w:eastAsia="zh-CN"/>
              </w:rPr>
              <w:t>月</w:t>
            </w: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lang w:val="en-US" w:eastAsia="zh-CN"/>
              </w:rPr>
              <w:t>日</w:t>
            </w:r>
          </w:p>
        </w:tc>
      </w:tr>
      <w:tr w14:paraId="2BB0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7A9D109C">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获取方式</w:t>
            </w:r>
          </w:p>
        </w:tc>
        <w:tc>
          <w:tcPr>
            <w:tcW w:w="8099" w:type="dxa"/>
            <w:gridSpan w:val="5"/>
            <w:noWrap w:val="0"/>
            <w:vAlign w:val="center"/>
          </w:tcPr>
          <w:p w14:paraId="73613002">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eastAsia="宋体" w:cs="宋体"/>
                <w:bCs/>
                <w:color w:val="auto"/>
                <w:kern w:val="1"/>
                <w:sz w:val="21"/>
                <w:szCs w:val="21"/>
                <w:highlight w:val="none"/>
                <w:lang w:val="en-US" w:eastAsia="zh-CN"/>
              </w:rPr>
              <w:t>地点：滁州市亭城文化旅游投资集团有限公司网站（http://www.tcwljt.com/default.php）</w:t>
            </w:r>
          </w:p>
          <w:p w14:paraId="5B007D27">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rPr>
              <w:t>方式：网上下载</w:t>
            </w:r>
          </w:p>
        </w:tc>
      </w:tr>
      <w:tr w14:paraId="48F1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212FF28C">
            <w:pPr>
              <w:widowControl/>
              <w:adjustRightInd w:val="0"/>
              <w:snapToGrid w:val="0"/>
              <w:spacing w:line="440" w:lineRule="exact"/>
              <w:jc w:val="center"/>
              <w:rPr>
                <w:rFonts w:hint="eastAsia" w:ascii="宋体" w:hAnsi="宋体" w:cs="宋体"/>
                <w:color w:val="auto"/>
                <w:sz w:val="21"/>
                <w:szCs w:val="21"/>
              </w:rPr>
            </w:pPr>
            <w:r>
              <w:rPr>
                <w:rFonts w:hint="eastAsia" w:ascii="宋体" w:hAnsi="宋体" w:cs="宋体"/>
                <w:color w:val="auto"/>
                <w:sz w:val="21"/>
                <w:szCs w:val="21"/>
              </w:rPr>
              <w:t>递交投标文件的</w:t>
            </w:r>
          </w:p>
          <w:p w14:paraId="751E7E00">
            <w:pPr>
              <w:widowControl/>
              <w:adjustRightInd w:val="0"/>
              <w:snapToGrid w:val="0"/>
              <w:spacing w:line="440" w:lineRule="exact"/>
              <w:jc w:val="center"/>
              <w:rPr>
                <w:rFonts w:hint="eastAsia" w:ascii="宋体" w:hAnsi="宋体" w:cs="宋体"/>
                <w:color w:val="auto"/>
                <w:kern w:val="0"/>
                <w:sz w:val="21"/>
                <w:szCs w:val="21"/>
              </w:rPr>
            </w:pPr>
            <w:r>
              <w:rPr>
                <w:rFonts w:hint="eastAsia" w:ascii="宋体" w:hAnsi="宋体" w:cs="宋体"/>
                <w:color w:val="auto"/>
                <w:sz w:val="21"/>
                <w:szCs w:val="21"/>
              </w:rPr>
              <w:t>截止时间</w:t>
            </w:r>
          </w:p>
        </w:tc>
        <w:tc>
          <w:tcPr>
            <w:tcW w:w="8099" w:type="dxa"/>
            <w:gridSpan w:val="5"/>
            <w:noWrap w:val="0"/>
            <w:vAlign w:val="center"/>
          </w:tcPr>
          <w:p w14:paraId="3C3CB8B0">
            <w:pPr>
              <w:spacing w:line="440" w:lineRule="exact"/>
              <w:jc w:val="left"/>
              <w:rPr>
                <w:rFonts w:hint="eastAsia" w:ascii="宋体" w:hAnsi="宋体" w:cs="宋体"/>
                <w:color w:val="auto"/>
                <w:kern w:val="0"/>
                <w:sz w:val="21"/>
                <w:szCs w:val="21"/>
              </w:rPr>
            </w:pPr>
            <w:r>
              <w:rPr>
                <w:rFonts w:hint="eastAsia" w:ascii="宋体" w:hAnsi="宋体" w:cs="宋体"/>
                <w:b/>
                <w:bCs/>
                <w:color w:val="auto"/>
                <w:sz w:val="21"/>
                <w:szCs w:val="21"/>
              </w:rPr>
              <w:t>202</w:t>
            </w:r>
            <w:r>
              <w:rPr>
                <w:rFonts w:hint="eastAsia" w:ascii="宋体" w:hAnsi="宋体" w:cs="宋体"/>
                <w:b/>
                <w:bCs/>
                <w:color w:val="auto"/>
                <w:sz w:val="21"/>
                <w:szCs w:val="21"/>
                <w:lang w:val="en-US" w:eastAsia="zh-CN"/>
              </w:rPr>
              <w:t>4</w:t>
            </w:r>
            <w:r>
              <w:rPr>
                <w:rFonts w:hint="eastAsia" w:ascii="宋体" w:hAnsi="宋体" w:cs="宋体"/>
                <w:b/>
                <w:bCs/>
                <w:color w:val="auto"/>
                <w:sz w:val="21"/>
                <w:szCs w:val="21"/>
              </w:rPr>
              <w:t>年</w:t>
            </w:r>
            <w:r>
              <w:rPr>
                <w:rFonts w:hint="eastAsia" w:ascii="宋体" w:hAnsi="宋体" w:cs="宋体"/>
                <w:b/>
                <w:bCs/>
                <w:color w:val="auto"/>
                <w:sz w:val="21"/>
                <w:szCs w:val="21"/>
                <w:lang w:val="en-US" w:eastAsia="zh-CN"/>
              </w:rPr>
              <w:t>8</w:t>
            </w:r>
            <w:r>
              <w:rPr>
                <w:rFonts w:hint="eastAsia" w:ascii="宋体" w:hAnsi="宋体" w:cs="宋体"/>
                <w:b/>
                <w:bCs/>
                <w:color w:val="auto"/>
                <w:sz w:val="21"/>
                <w:szCs w:val="21"/>
              </w:rPr>
              <w:t>月</w:t>
            </w:r>
            <w:r>
              <w:rPr>
                <w:rFonts w:hint="eastAsia" w:ascii="宋体" w:hAnsi="宋体" w:cs="宋体"/>
                <w:b/>
                <w:bCs/>
                <w:color w:val="auto"/>
                <w:sz w:val="21"/>
                <w:szCs w:val="21"/>
                <w:lang w:val="en-US" w:eastAsia="zh-CN"/>
              </w:rPr>
              <w:t>5</w:t>
            </w:r>
            <w:r>
              <w:rPr>
                <w:rFonts w:hint="eastAsia" w:ascii="宋体" w:hAnsi="宋体" w:cs="宋体"/>
                <w:b/>
                <w:bCs/>
                <w:color w:val="auto"/>
                <w:sz w:val="21"/>
                <w:szCs w:val="21"/>
              </w:rPr>
              <w:t>日</w:t>
            </w:r>
            <w:r>
              <w:rPr>
                <w:rFonts w:hint="eastAsia" w:ascii="宋体" w:hAnsi="宋体" w:cs="宋体"/>
                <w:b/>
                <w:bCs/>
                <w:color w:val="auto"/>
                <w:sz w:val="21"/>
                <w:szCs w:val="21"/>
                <w:lang w:val="en-US" w:eastAsia="zh-CN"/>
              </w:rPr>
              <w:t>15</w:t>
            </w:r>
            <w:r>
              <w:rPr>
                <w:rFonts w:hint="eastAsia" w:ascii="宋体" w:hAnsi="宋体" w:cs="宋体"/>
                <w:b/>
                <w:bCs/>
                <w:color w:val="auto"/>
                <w:sz w:val="21"/>
                <w:szCs w:val="21"/>
              </w:rPr>
              <w:t>时 00分</w:t>
            </w:r>
          </w:p>
        </w:tc>
      </w:tr>
      <w:tr w14:paraId="3FD4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147" w:type="dxa"/>
            <w:gridSpan w:val="2"/>
            <w:noWrap w:val="0"/>
            <w:vAlign w:val="center"/>
          </w:tcPr>
          <w:p w14:paraId="4605641B">
            <w:pPr>
              <w:widowControl/>
              <w:adjustRightInd w:val="0"/>
              <w:snapToGrid w:val="0"/>
              <w:spacing w:line="440" w:lineRule="exact"/>
              <w:jc w:val="center"/>
              <w:rPr>
                <w:rFonts w:hint="eastAsia" w:ascii="宋体" w:hAnsi="宋体" w:cs="宋体"/>
                <w:color w:val="auto"/>
                <w:kern w:val="0"/>
                <w:sz w:val="21"/>
                <w:szCs w:val="21"/>
              </w:rPr>
            </w:pPr>
            <w:r>
              <w:rPr>
                <w:rFonts w:hint="eastAsia" w:ascii="宋体" w:hAnsi="宋体" w:cs="宋体"/>
                <w:color w:val="auto"/>
                <w:sz w:val="21"/>
                <w:szCs w:val="21"/>
              </w:rPr>
              <w:t>开标时间</w:t>
            </w:r>
          </w:p>
        </w:tc>
        <w:tc>
          <w:tcPr>
            <w:tcW w:w="8099" w:type="dxa"/>
            <w:gridSpan w:val="5"/>
            <w:noWrap w:val="0"/>
            <w:vAlign w:val="center"/>
          </w:tcPr>
          <w:p w14:paraId="2FD66D89">
            <w:pPr>
              <w:spacing w:line="440" w:lineRule="exact"/>
              <w:jc w:val="left"/>
              <w:rPr>
                <w:rFonts w:hint="eastAsia" w:ascii="宋体" w:hAnsi="宋体" w:cs="宋体"/>
                <w:color w:val="auto"/>
                <w:kern w:val="0"/>
                <w:sz w:val="21"/>
                <w:szCs w:val="21"/>
              </w:rPr>
            </w:pPr>
            <w:r>
              <w:rPr>
                <w:rFonts w:hint="eastAsia" w:ascii="宋体" w:hAnsi="宋体" w:cs="宋体"/>
                <w:b/>
                <w:bCs/>
                <w:color w:val="auto"/>
                <w:sz w:val="21"/>
                <w:szCs w:val="21"/>
              </w:rPr>
              <w:t>202</w:t>
            </w:r>
            <w:r>
              <w:rPr>
                <w:rFonts w:hint="eastAsia" w:ascii="宋体" w:hAnsi="宋体" w:cs="宋体"/>
                <w:b/>
                <w:bCs/>
                <w:color w:val="auto"/>
                <w:sz w:val="21"/>
                <w:szCs w:val="21"/>
                <w:lang w:val="en-US" w:eastAsia="zh-CN"/>
              </w:rPr>
              <w:t>4</w:t>
            </w:r>
            <w:r>
              <w:rPr>
                <w:rFonts w:hint="eastAsia" w:ascii="宋体" w:hAnsi="宋体" w:cs="宋体"/>
                <w:b/>
                <w:bCs/>
                <w:color w:val="auto"/>
                <w:sz w:val="21"/>
                <w:szCs w:val="21"/>
              </w:rPr>
              <w:t>年</w:t>
            </w:r>
            <w:r>
              <w:rPr>
                <w:rFonts w:hint="eastAsia" w:ascii="宋体" w:hAnsi="宋体" w:cs="宋体"/>
                <w:b/>
                <w:bCs/>
                <w:color w:val="auto"/>
                <w:sz w:val="21"/>
                <w:szCs w:val="21"/>
                <w:lang w:val="en-US" w:eastAsia="zh-CN"/>
              </w:rPr>
              <w:t>8</w:t>
            </w:r>
            <w:r>
              <w:rPr>
                <w:rFonts w:hint="eastAsia" w:ascii="宋体" w:hAnsi="宋体" w:cs="宋体"/>
                <w:b/>
                <w:bCs/>
                <w:color w:val="auto"/>
                <w:sz w:val="21"/>
                <w:szCs w:val="21"/>
              </w:rPr>
              <w:t>月</w:t>
            </w:r>
            <w:r>
              <w:rPr>
                <w:rFonts w:hint="eastAsia" w:ascii="宋体" w:hAnsi="宋体" w:cs="宋体"/>
                <w:b/>
                <w:bCs/>
                <w:color w:val="auto"/>
                <w:sz w:val="21"/>
                <w:szCs w:val="21"/>
                <w:lang w:val="en-US" w:eastAsia="zh-CN"/>
              </w:rPr>
              <w:t>5</w:t>
            </w:r>
            <w:r>
              <w:rPr>
                <w:rFonts w:hint="eastAsia" w:ascii="宋体" w:hAnsi="宋体" w:cs="宋体"/>
                <w:b/>
                <w:bCs/>
                <w:color w:val="auto"/>
                <w:sz w:val="21"/>
                <w:szCs w:val="21"/>
              </w:rPr>
              <w:t>日</w:t>
            </w:r>
            <w:r>
              <w:rPr>
                <w:rFonts w:hint="eastAsia" w:ascii="宋体" w:hAnsi="宋体" w:cs="宋体"/>
                <w:b/>
                <w:bCs/>
                <w:color w:val="auto"/>
                <w:sz w:val="21"/>
                <w:szCs w:val="21"/>
                <w:lang w:val="en-US" w:eastAsia="zh-CN"/>
              </w:rPr>
              <w:t>15</w:t>
            </w:r>
            <w:r>
              <w:rPr>
                <w:rFonts w:hint="eastAsia" w:ascii="宋体" w:hAnsi="宋体" w:cs="宋体"/>
                <w:b/>
                <w:bCs/>
                <w:color w:val="auto"/>
                <w:sz w:val="21"/>
                <w:szCs w:val="21"/>
              </w:rPr>
              <w:t>时 00 分</w:t>
            </w:r>
          </w:p>
        </w:tc>
      </w:tr>
      <w:tr w14:paraId="7BA8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2795A7EA">
            <w:pPr>
              <w:widowControl/>
              <w:adjustRightInd w:val="0"/>
              <w:snapToGrid w:val="0"/>
              <w:spacing w:line="440" w:lineRule="exact"/>
              <w:jc w:val="center"/>
              <w:rPr>
                <w:rFonts w:hint="eastAsia" w:ascii="宋体" w:hAnsi="宋体" w:cs="宋体"/>
                <w:color w:val="auto"/>
                <w:kern w:val="0"/>
                <w:sz w:val="21"/>
                <w:szCs w:val="21"/>
              </w:rPr>
            </w:pPr>
            <w:r>
              <w:rPr>
                <w:rFonts w:hint="eastAsia" w:ascii="宋体" w:hAnsi="宋体" w:cs="宋体"/>
                <w:color w:val="auto"/>
                <w:sz w:val="21"/>
                <w:szCs w:val="21"/>
              </w:rPr>
              <w:t>开标地点</w:t>
            </w:r>
          </w:p>
        </w:tc>
        <w:tc>
          <w:tcPr>
            <w:tcW w:w="8099" w:type="dxa"/>
            <w:gridSpan w:val="5"/>
            <w:noWrap w:val="0"/>
            <w:vAlign w:val="center"/>
          </w:tcPr>
          <w:p w14:paraId="109EFDEE">
            <w:pPr>
              <w:spacing w:line="440" w:lineRule="exact"/>
              <w:jc w:val="left"/>
              <w:rPr>
                <w:rFonts w:hint="eastAsia" w:ascii="宋体" w:hAnsi="宋体" w:cs="宋体"/>
                <w:color w:val="auto"/>
                <w:kern w:val="0"/>
                <w:sz w:val="21"/>
                <w:szCs w:val="21"/>
              </w:rPr>
            </w:pPr>
            <w:r>
              <w:rPr>
                <w:rFonts w:hint="eastAsia" w:ascii="宋体" w:hAnsi="宋体" w:cs="宋体"/>
                <w:b/>
                <w:bCs/>
                <w:color w:val="auto"/>
                <w:szCs w:val="21"/>
                <w:highlight w:val="none"/>
                <w:lang w:eastAsia="zh-CN"/>
              </w:rPr>
              <w:t>滁州市龙蟠大道109号房产商务大厦6楼622会议室</w:t>
            </w:r>
            <w:r>
              <w:rPr>
                <w:rFonts w:hint="eastAsia" w:ascii="宋体" w:hAnsi="宋体" w:cs="宋体"/>
                <w:b/>
                <w:bCs/>
                <w:color w:val="auto"/>
                <w:szCs w:val="21"/>
                <w:highlight w:val="none"/>
              </w:rPr>
              <w:t xml:space="preserve">   </w:t>
            </w:r>
          </w:p>
        </w:tc>
      </w:tr>
      <w:tr w14:paraId="6A3B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41AECC5D">
            <w:pPr>
              <w:widowControl/>
              <w:adjustRightInd w:val="0"/>
              <w:snapToGrid w:val="0"/>
              <w:spacing w:line="440" w:lineRule="exact"/>
              <w:jc w:val="center"/>
              <w:rPr>
                <w:rFonts w:hint="eastAsia" w:ascii="宋体" w:hAnsi="宋体" w:cs="宋体"/>
                <w:color w:val="auto"/>
                <w:kern w:val="0"/>
                <w:sz w:val="21"/>
                <w:szCs w:val="21"/>
              </w:rPr>
            </w:pPr>
            <w:r>
              <w:rPr>
                <w:rFonts w:hint="eastAsia" w:ascii="宋体" w:hAnsi="宋体" w:cs="宋体"/>
                <w:color w:val="auto"/>
                <w:sz w:val="21"/>
                <w:szCs w:val="21"/>
              </w:rPr>
              <w:t>招标文件售价</w:t>
            </w:r>
          </w:p>
        </w:tc>
        <w:tc>
          <w:tcPr>
            <w:tcW w:w="8099" w:type="dxa"/>
            <w:gridSpan w:val="5"/>
            <w:noWrap w:val="0"/>
            <w:vAlign w:val="center"/>
          </w:tcPr>
          <w:p w14:paraId="11724C85">
            <w:pPr>
              <w:widowControl/>
              <w:adjustRightInd w:val="0"/>
              <w:snapToGrid w:val="0"/>
              <w:spacing w:line="440" w:lineRule="exact"/>
              <w:jc w:val="left"/>
              <w:rPr>
                <w:rFonts w:hint="eastAsia" w:ascii="宋体" w:hAnsi="宋体" w:cs="宋体"/>
                <w:color w:val="auto"/>
                <w:kern w:val="0"/>
                <w:sz w:val="21"/>
                <w:szCs w:val="21"/>
              </w:rPr>
            </w:pPr>
            <w:r>
              <w:rPr>
                <w:rFonts w:hint="eastAsia" w:ascii="宋体" w:hAnsi="宋体" w:cs="宋体"/>
                <w:color w:val="auto"/>
                <w:kern w:val="0"/>
                <w:sz w:val="21"/>
                <w:szCs w:val="21"/>
              </w:rPr>
              <w:t>0元</w:t>
            </w:r>
          </w:p>
        </w:tc>
      </w:tr>
      <w:tr w14:paraId="64A9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noWrap w:val="0"/>
            <w:vAlign w:val="center"/>
          </w:tcPr>
          <w:p w14:paraId="360C1C82">
            <w:pPr>
              <w:adjustRightInd w:val="0"/>
              <w:snapToGrid w:val="0"/>
              <w:spacing w:line="440" w:lineRule="exact"/>
              <w:jc w:val="center"/>
              <w:rPr>
                <w:rFonts w:hint="eastAsia" w:ascii="宋体" w:hAnsi="宋体" w:cs="宋体"/>
                <w:color w:val="auto"/>
                <w:kern w:val="0"/>
                <w:szCs w:val="21"/>
              </w:rPr>
            </w:pPr>
            <w:r>
              <w:rPr>
                <w:rFonts w:hint="eastAsia" w:ascii="宋体" w:hAnsi="宋体" w:cs="宋体"/>
                <w:color w:val="auto"/>
                <w:kern w:val="0"/>
                <w:szCs w:val="21"/>
              </w:rPr>
              <w:t>信  息  内  容</w:t>
            </w:r>
          </w:p>
        </w:tc>
      </w:tr>
      <w:tr w14:paraId="7125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5A6C9BC7">
            <w:pPr>
              <w:adjustRightInd w:val="0"/>
              <w:snapToGrid w:val="0"/>
              <w:spacing w:line="440" w:lineRule="exact"/>
              <w:jc w:val="center"/>
              <w:rPr>
                <w:rFonts w:hint="eastAsia" w:ascii="宋体" w:hAnsi="宋体" w:cs="宋体"/>
                <w:color w:val="auto"/>
                <w:szCs w:val="21"/>
              </w:rPr>
            </w:pPr>
            <w:r>
              <w:rPr>
                <w:rFonts w:hint="eastAsia" w:ascii="宋体" w:hAnsi="宋体" w:cs="宋体"/>
                <w:color w:val="auto"/>
                <w:szCs w:val="21"/>
              </w:rPr>
              <w:t>评标办法</w:t>
            </w:r>
          </w:p>
        </w:tc>
        <w:tc>
          <w:tcPr>
            <w:tcW w:w="3126" w:type="dxa"/>
            <w:gridSpan w:val="3"/>
            <w:noWrap w:val="0"/>
            <w:vAlign w:val="center"/>
          </w:tcPr>
          <w:p w14:paraId="6AD84CCA">
            <w:pPr>
              <w:adjustRightInd w:val="0"/>
              <w:snapToGrid w:val="0"/>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综合评估法</w:t>
            </w:r>
          </w:p>
        </w:tc>
        <w:tc>
          <w:tcPr>
            <w:tcW w:w="2648" w:type="dxa"/>
            <w:gridSpan w:val="2"/>
            <w:noWrap w:val="0"/>
            <w:vAlign w:val="center"/>
          </w:tcPr>
          <w:p w14:paraId="3E85C481">
            <w:pPr>
              <w:adjustRightInd w:val="0"/>
              <w:snapToGrid w:val="0"/>
              <w:spacing w:line="440" w:lineRule="exact"/>
              <w:jc w:val="center"/>
              <w:rPr>
                <w:rFonts w:hint="eastAsia" w:ascii="宋体" w:hAnsi="宋体" w:cs="宋体"/>
                <w:color w:val="auto"/>
                <w:szCs w:val="21"/>
              </w:rPr>
            </w:pPr>
            <w:r>
              <w:rPr>
                <w:rFonts w:hint="eastAsia" w:ascii="宋体" w:hAnsi="宋体" w:cs="宋体"/>
                <w:color w:val="auto"/>
                <w:kern w:val="0"/>
                <w:szCs w:val="21"/>
              </w:rPr>
              <w:t>工程款支付方式</w:t>
            </w:r>
          </w:p>
        </w:tc>
        <w:tc>
          <w:tcPr>
            <w:tcW w:w="3000" w:type="dxa"/>
            <w:noWrap w:val="0"/>
            <w:vAlign w:val="center"/>
          </w:tcPr>
          <w:p w14:paraId="09124006">
            <w:pPr>
              <w:adjustRightInd w:val="0"/>
              <w:snapToGrid w:val="0"/>
              <w:spacing w:line="440" w:lineRule="exact"/>
              <w:jc w:val="center"/>
              <w:rPr>
                <w:rFonts w:ascii="宋体" w:hAnsi="宋体" w:cs="宋体"/>
                <w:color w:val="auto"/>
                <w:szCs w:val="21"/>
              </w:rPr>
            </w:pPr>
            <w:r>
              <w:rPr>
                <w:rFonts w:hint="eastAsia" w:ascii="宋体" w:hAnsi="宋体" w:cs="宋体"/>
                <w:color w:val="auto"/>
                <w:szCs w:val="21"/>
              </w:rPr>
              <w:t>详见招标文件</w:t>
            </w:r>
          </w:p>
        </w:tc>
      </w:tr>
      <w:tr w14:paraId="2125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5ACEB9C7">
            <w:pPr>
              <w:adjustRightInd w:val="0"/>
              <w:snapToGrid w:val="0"/>
              <w:spacing w:line="440" w:lineRule="exact"/>
              <w:jc w:val="center"/>
              <w:rPr>
                <w:rFonts w:hint="eastAsia" w:ascii="宋体" w:hAnsi="宋体" w:cs="宋体"/>
                <w:color w:val="auto"/>
                <w:szCs w:val="21"/>
              </w:rPr>
            </w:pPr>
            <w:r>
              <w:rPr>
                <w:rFonts w:hint="eastAsia" w:ascii="宋体" w:hAnsi="宋体" w:cs="宋体"/>
                <w:color w:val="auto"/>
                <w:szCs w:val="21"/>
              </w:rPr>
              <w:t>工程概算</w:t>
            </w:r>
          </w:p>
        </w:tc>
        <w:tc>
          <w:tcPr>
            <w:tcW w:w="3126" w:type="dxa"/>
            <w:gridSpan w:val="3"/>
            <w:noWrap w:val="0"/>
            <w:vAlign w:val="center"/>
          </w:tcPr>
          <w:p w14:paraId="53178140">
            <w:pPr>
              <w:adjustRightInd w:val="0"/>
              <w:snapToGrid w:val="0"/>
              <w:spacing w:line="440" w:lineRule="exact"/>
              <w:jc w:val="center"/>
              <w:rPr>
                <w:rFonts w:ascii="宋体" w:hAnsi="宋体" w:cs="宋体"/>
                <w:color w:val="auto"/>
                <w:szCs w:val="21"/>
              </w:rPr>
            </w:pPr>
            <w:r>
              <w:rPr>
                <w:rFonts w:hint="eastAsia" w:ascii="宋体" w:hAnsi="宋体" w:cs="宋体"/>
                <w:color w:val="auto"/>
                <w:kern w:val="0"/>
                <w:szCs w:val="21"/>
              </w:rPr>
              <w:t>约</w:t>
            </w:r>
            <w:r>
              <w:rPr>
                <w:rFonts w:hint="eastAsia" w:ascii="宋体" w:hAnsi="宋体" w:cs="宋体"/>
                <w:color w:val="auto"/>
                <w:kern w:val="0"/>
                <w:szCs w:val="21"/>
                <w:lang w:val="en-US" w:eastAsia="zh-CN"/>
              </w:rPr>
              <w:t>24.35</w:t>
            </w:r>
            <w:r>
              <w:rPr>
                <w:rFonts w:hint="eastAsia" w:ascii="宋体" w:hAnsi="宋体" w:cs="宋体"/>
                <w:color w:val="auto"/>
                <w:kern w:val="0"/>
                <w:szCs w:val="21"/>
              </w:rPr>
              <w:t xml:space="preserve">万元  </w:t>
            </w:r>
          </w:p>
        </w:tc>
        <w:tc>
          <w:tcPr>
            <w:tcW w:w="2648" w:type="dxa"/>
            <w:gridSpan w:val="2"/>
            <w:noWrap w:val="0"/>
            <w:vAlign w:val="center"/>
          </w:tcPr>
          <w:p w14:paraId="58BF46B2">
            <w:pPr>
              <w:adjustRightInd w:val="0"/>
              <w:snapToGrid w:val="0"/>
              <w:spacing w:line="440" w:lineRule="exact"/>
              <w:jc w:val="center"/>
              <w:rPr>
                <w:rFonts w:hint="eastAsia" w:ascii="宋体" w:hAnsi="宋体" w:cs="宋体"/>
                <w:color w:val="auto"/>
                <w:kern w:val="0"/>
                <w:szCs w:val="21"/>
              </w:rPr>
            </w:pPr>
            <w:r>
              <w:rPr>
                <w:rFonts w:hint="eastAsia" w:ascii="宋体" w:hAnsi="宋体" w:cs="宋体"/>
                <w:color w:val="auto"/>
                <w:kern w:val="0"/>
                <w:szCs w:val="21"/>
              </w:rPr>
              <w:t>计划工期</w:t>
            </w:r>
          </w:p>
        </w:tc>
        <w:tc>
          <w:tcPr>
            <w:tcW w:w="3000" w:type="dxa"/>
            <w:noWrap w:val="0"/>
            <w:vAlign w:val="center"/>
          </w:tcPr>
          <w:p w14:paraId="1D373686">
            <w:pPr>
              <w:adjustRightInd w:val="0"/>
              <w:snapToGrid w:val="0"/>
              <w:spacing w:line="440" w:lineRule="exact"/>
              <w:jc w:val="center"/>
              <w:rPr>
                <w:rFonts w:hint="eastAsia" w:ascii="宋体" w:hAnsi="宋体" w:cs="宋体"/>
                <w:color w:val="auto"/>
                <w:szCs w:val="21"/>
              </w:rPr>
            </w:pPr>
            <w:r>
              <w:rPr>
                <w:rFonts w:hint="eastAsia" w:ascii="宋体" w:hAnsi="宋体" w:cs="宋体"/>
                <w:color w:val="auto"/>
                <w:szCs w:val="21"/>
              </w:rPr>
              <w:t>详见招标文件</w:t>
            </w:r>
          </w:p>
        </w:tc>
      </w:tr>
      <w:tr w14:paraId="5ACC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780BAA8F">
            <w:pPr>
              <w:adjustRightInd w:val="0"/>
              <w:snapToGrid w:val="0"/>
              <w:spacing w:line="440" w:lineRule="exact"/>
              <w:jc w:val="center"/>
              <w:rPr>
                <w:rFonts w:hint="eastAsia" w:ascii="宋体" w:hAnsi="宋体" w:cs="宋体"/>
                <w:color w:val="auto"/>
                <w:kern w:val="0"/>
                <w:szCs w:val="21"/>
              </w:rPr>
            </w:pPr>
            <w:r>
              <w:rPr>
                <w:rFonts w:hint="eastAsia" w:ascii="宋体" w:hAnsi="宋体" w:cs="宋体"/>
                <w:color w:val="auto"/>
                <w:kern w:val="0"/>
                <w:szCs w:val="21"/>
              </w:rPr>
              <w:t>资金来源</w:t>
            </w:r>
          </w:p>
        </w:tc>
        <w:tc>
          <w:tcPr>
            <w:tcW w:w="3119" w:type="dxa"/>
            <w:gridSpan w:val="2"/>
            <w:noWrap w:val="0"/>
            <w:vAlign w:val="center"/>
          </w:tcPr>
          <w:p w14:paraId="7843B12E">
            <w:pPr>
              <w:adjustRightInd w:val="0"/>
              <w:snapToGrid w:val="0"/>
              <w:spacing w:line="440" w:lineRule="exact"/>
              <w:jc w:val="center"/>
              <w:rPr>
                <w:rFonts w:hint="eastAsia" w:ascii="宋体" w:hAnsi="宋体" w:cs="宋体"/>
                <w:color w:val="auto"/>
                <w:kern w:val="0"/>
                <w:szCs w:val="21"/>
              </w:rPr>
            </w:pPr>
            <w:r>
              <w:rPr>
                <w:rFonts w:hint="eastAsia" w:ascii="宋体" w:hAnsi="宋体" w:cs="宋体"/>
                <w:color w:val="auto"/>
                <w:kern w:val="0"/>
                <w:szCs w:val="21"/>
              </w:rPr>
              <w:t>自筹资金</w:t>
            </w:r>
          </w:p>
        </w:tc>
        <w:tc>
          <w:tcPr>
            <w:tcW w:w="2655" w:type="dxa"/>
            <w:gridSpan w:val="3"/>
            <w:noWrap w:val="0"/>
            <w:vAlign w:val="center"/>
          </w:tcPr>
          <w:p w14:paraId="384322F4">
            <w:pPr>
              <w:adjustRightInd w:val="0"/>
              <w:snapToGrid w:val="0"/>
              <w:spacing w:line="440" w:lineRule="exact"/>
              <w:jc w:val="center"/>
              <w:rPr>
                <w:rFonts w:hint="eastAsia" w:ascii="宋体" w:hAnsi="宋体" w:cs="宋体"/>
                <w:color w:val="auto"/>
                <w:spacing w:val="-4"/>
                <w:kern w:val="0"/>
                <w:szCs w:val="21"/>
              </w:rPr>
            </w:pPr>
            <w:r>
              <w:rPr>
                <w:rFonts w:hint="eastAsia" w:ascii="宋体" w:hAnsi="宋体" w:cs="宋体"/>
                <w:color w:val="auto"/>
                <w:spacing w:val="-4"/>
                <w:kern w:val="0"/>
                <w:szCs w:val="21"/>
              </w:rPr>
              <w:t>/</w:t>
            </w:r>
          </w:p>
        </w:tc>
        <w:tc>
          <w:tcPr>
            <w:tcW w:w="3000" w:type="dxa"/>
            <w:noWrap w:val="0"/>
            <w:vAlign w:val="center"/>
          </w:tcPr>
          <w:p w14:paraId="18A49B96">
            <w:pPr>
              <w:adjustRightInd w:val="0"/>
              <w:snapToGrid w:val="0"/>
              <w:spacing w:line="440" w:lineRule="exact"/>
              <w:jc w:val="center"/>
              <w:rPr>
                <w:rFonts w:hint="eastAsia" w:ascii="宋体" w:hAnsi="宋体" w:cs="宋体"/>
                <w:color w:val="auto"/>
                <w:spacing w:val="-4"/>
                <w:kern w:val="0"/>
                <w:szCs w:val="21"/>
              </w:rPr>
            </w:pPr>
            <w:r>
              <w:rPr>
                <w:rFonts w:hint="eastAsia" w:ascii="宋体" w:hAnsi="宋体" w:cs="宋体"/>
                <w:color w:val="auto"/>
                <w:spacing w:val="-4"/>
                <w:kern w:val="0"/>
                <w:szCs w:val="21"/>
              </w:rPr>
              <w:t>/</w:t>
            </w:r>
          </w:p>
        </w:tc>
      </w:tr>
      <w:tr w14:paraId="6B75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noWrap w:val="0"/>
            <w:vAlign w:val="center"/>
          </w:tcPr>
          <w:p w14:paraId="466FC05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投标保证金的金额：</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lang w:val="en-US" w:eastAsia="zh-CN"/>
              </w:rPr>
              <w:t>万元，</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val="en-US" w:eastAsia="zh-CN"/>
              </w:rPr>
              <w:t>投标文件递交</w:t>
            </w:r>
            <w:r>
              <w:rPr>
                <w:rFonts w:hint="eastAsia" w:ascii="宋体" w:hAnsi="宋体" w:eastAsia="宋体" w:cs="宋体"/>
                <w:color w:val="auto"/>
                <w:sz w:val="21"/>
                <w:szCs w:val="21"/>
                <w:highlight w:val="none"/>
              </w:rPr>
              <w:t>截止时间前缴纳完毕。保证金须</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基本账户转入</w:t>
            </w:r>
            <w:r>
              <w:rPr>
                <w:rFonts w:hint="eastAsia" w:ascii="宋体" w:hAnsi="宋体" w:eastAsia="宋体" w:cs="宋体"/>
                <w:color w:val="auto"/>
                <w:sz w:val="21"/>
                <w:szCs w:val="21"/>
                <w:highlight w:val="none"/>
                <w:lang w:val="en-US" w:eastAsia="zh-CN"/>
              </w:rPr>
              <w:t>下列账户</w:t>
            </w:r>
            <w:r>
              <w:rPr>
                <w:rFonts w:hint="eastAsia" w:ascii="宋体" w:hAnsi="宋体" w:eastAsia="宋体" w:cs="宋体"/>
                <w:color w:val="auto"/>
                <w:sz w:val="21"/>
                <w:szCs w:val="21"/>
                <w:highlight w:val="none"/>
              </w:rPr>
              <w:t>，保证金付款人的账户名称必须与</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名称一致，不接受汇票和结算卡汇入</w:t>
            </w:r>
            <w:r>
              <w:rPr>
                <w:rFonts w:hint="eastAsia" w:ascii="宋体" w:hAnsi="宋体" w:eastAsia="宋体" w:cs="宋体"/>
                <w:color w:val="auto"/>
                <w:sz w:val="21"/>
                <w:szCs w:val="21"/>
                <w:highlight w:val="none"/>
                <w:lang w:eastAsia="zh-CN"/>
              </w:rPr>
              <w:t>。</w:t>
            </w:r>
          </w:p>
          <w:p w14:paraId="2648380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保证金的形式：</w:t>
            </w:r>
            <w:r>
              <w:rPr>
                <w:rFonts w:hint="eastAsia" w:ascii="宋体" w:hAnsi="宋体" w:eastAsia="宋体" w:cs="宋体"/>
                <w:color w:val="auto"/>
                <w:sz w:val="21"/>
                <w:szCs w:val="21"/>
                <w:highlight w:val="none"/>
              </w:rPr>
              <w:t>银行转帐或银行保函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无条件保函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或商业保险或第三方担保方式</w:t>
            </w:r>
            <w:r>
              <w:rPr>
                <w:rFonts w:hint="eastAsia" w:ascii="宋体" w:hAnsi="宋体" w:eastAsia="宋体" w:cs="宋体"/>
                <w:color w:val="auto"/>
                <w:sz w:val="21"/>
                <w:szCs w:val="21"/>
                <w:highlight w:val="none"/>
                <w:lang w:eastAsia="zh-CN"/>
              </w:rPr>
              <w:t>。</w:t>
            </w:r>
          </w:p>
          <w:p w14:paraId="4631EBB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投标保证金以银行转账形式的，转账记录和开户行证明材料复印件需加盖公章后与投标文件同时递交。 </w:t>
            </w:r>
          </w:p>
          <w:p w14:paraId="0F31E2F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银行保函或商业保险或第三方担保材料，须与投标文件同时递交。</w:t>
            </w:r>
          </w:p>
          <w:p w14:paraId="0A9C291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单位名称 ： 滁州市鑫鼎城市更新建设运营有限公司               </w:t>
            </w:r>
          </w:p>
          <w:p w14:paraId="1377A86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纳税人识别号：</w:t>
            </w:r>
            <w:r>
              <w:rPr>
                <w:rFonts w:hint="eastAsia" w:ascii="宋体" w:hAnsi="宋体" w:eastAsia="宋体" w:cs="宋体"/>
                <w:kern w:val="0"/>
                <w:sz w:val="21"/>
                <w:szCs w:val="21"/>
                <w:lang w:val="en-US" w:eastAsia="zh-CN" w:bidi="ar"/>
              </w:rPr>
              <w:t>91341100MA2UABTK03</w:t>
            </w:r>
            <w:r>
              <w:rPr>
                <w:rFonts w:hint="eastAsia" w:ascii="宋体" w:hAnsi="宋体" w:eastAsia="宋体" w:cs="宋体"/>
                <w:color w:val="auto"/>
                <w:sz w:val="21"/>
                <w:szCs w:val="21"/>
                <w:highlight w:val="none"/>
                <w:lang w:val="en-US" w:eastAsia="zh-CN"/>
              </w:rPr>
              <w:t xml:space="preserve">              </w:t>
            </w:r>
          </w:p>
          <w:p w14:paraId="432C62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r>
              <w:rPr>
                <w:rFonts w:hint="eastAsia" w:ascii="宋体" w:hAnsi="宋体" w:eastAsia="宋体" w:cs="宋体"/>
                <w:kern w:val="0"/>
                <w:sz w:val="21"/>
                <w:szCs w:val="21"/>
                <w:lang w:val="en-US" w:eastAsia="zh-CN" w:bidi="ar"/>
              </w:rPr>
              <w:t>安徽省滁州市凤凰东路476号投资大厦6楼</w:t>
            </w:r>
          </w:p>
          <w:p w14:paraId="65C57E9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cs="宋体"/>
                <w:color w:val="auto"/>
                <w:sz w:val="21"/>
                <w:szCs w:val="21"/>
                <w:highlight w:val="none"/>
                <w:lang w:val="en-US" w:eastAsia="zh-CN"/>
              </w:rPr>
              <w:t>0550-3801220</w:t>
            </w:r>
            <w:r>
              <w:rPr>
                <w:rFonts w:hint="eastAsia" w:ascii="宋体" w:hAnsi="宋体" w:eastAsia="宋体" w:cs="宋体"/>
                <w:color w:val="auto"/>
                <w:sz w:val="21"/>
                <w:szCs w:val="21"/>
                <w:highlight w:val="none"/>
                <w:lang w:val="en-US" w:eastAsia="zh-CN"/>
              </w:rPr>
              <w:t xml:space="preserve">    </w:t>
            </w:r>
          </w:p>
          <w:p w14:paraId="59AB6AC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w:t>
            </w:r>
            <w:r>
              <w:rPr>
                <w:rFonts w:hint="eastAsia" w:ascii="宋体" w:hAnsi="宋体" w:cs="宋体"/>
                <w:color w:val="auto"/>
                <w:sz w:val="21"/>
                <w:szCs w:val="21"/>
                <w:highlight w:val="none"/>
                <w:lang w:val="en-US" w:eastAsia="zh-CN"/>
              </w:rPr>
              <w:t>：</w:t>
            </w:r>
            <w:r>
              <w:rPr>
                <w:rFonts w:hint="eastAsia" w:ascii="宋体" w:hAnsi="宋体" w:eastAsia="宋体" w:cs="宋体"/>
                <w:kern w:val="0"/>
                <w:sz w:val="21"/>
                <w:szCs w:val="21"/>
                <w:lang w:val="en-US" w:eastAsia="zh-CN" w:bidi="ar"/>
              </w:rPr>
              <w:t>交通银行滁州分行营业部</w:t>
            </w:r>
          </w:p>
          <w:p w14:paraId="4E98625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账号： </w:t>
            </w:r>
            <w:r>
              <w:rPr>
                <w:rFonts w:hint="eastAsia" w:ascii="宋体" w:hAnsi="宋体" w:eastAsia="宋体" w:cs="宋体"/>
                <w:kern w:val="0"/>
                <w:sz w:val="21"/>
                <w:szCs w:val="21"/>
                <w:lang w:val="en-US" w:eastAsia="zh-CN" w:bidi="ar"/>
              </w:rPr>
              <w:t>350220000013000010946</w:t>
            </w:r>
          </w:p>
          <w:p w14:paraId="75EA386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cs="宋体"/>
                <w:color w:val="auto"/>
                <w:szCs w:val="21"/>
              </w:rPr>
            </w:pPr>
            <w:r>
              <w:rPr>
                <w:rFonts w:hint="eastAsia" w:ascii="宋体" w:hAnsi="宋体" w:eastAsia="宋体" w:cs="宋体"/>
                <w:color w:val="auto"/>
                <w:kern w:val="2"/>
                <w:sz w:val="21"/>
                <w:szCs w:val="21"/>
                <w:highlight w:val="none"/>
                <w:lang w:val="en-US" w:eastAsia="zh-CN" w:bidi="ar-SA"/>
              </w:rPr>
              <w:t>保证金到账截止时间同投标文件递交截止时间，交纳保证金时须在交易附言中注明：“亭城玺悦里项目沙盘、品牌墙制作采购”项目招标保证金。</w:t>
            </w:r>
          </w:p>
        </w:tc>
      </w:tr>
      <w:tr w14:paraId="65D7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4998" w:type="dxa"/>
            <w:gridSpan w:val="5"/>
            <w:noWrap w:val="0"/>
            <w:vAlign w:val="center"/>
          </w:tcPr>
          <w:p w14:paraId="750F3F7D">
            <w:pPr>
              <w:adjustRightInd w:val="0"/>
              <w:snapToGrid w:val="0"/>
              <w:spacing w:line="440" w:lineRule="exact"/>
              <w:jc w:val="left"/>
              <w:rPr>
                <w:rFonts w:hint="eastAsia"/>
                <w:color w:val="auto"/>
                <w:lang w:bidi="ar"/>
              </w:rPr>
            </w:pPr>
            <w:r>
              <w:rPr>
                <w:rFonts w:hint="eastAsia" w:ascii="宋体" w:hAnsi="宋体" w:cs="宋体"/>
                <w:color w:val="auto"/>
                <w:szCs w:val="21"/>
              </w:rPr>
              <w:t>招标人名称</w:t>
            </w:r>
            <w:r>
              <w:rPr>
                <w:rFonts w:hint="eastAsia"/>
                <w:color w:val="auto"/>
                <w:lang w:bidi="ar"/>
              </w:rPr>
              <w:t>：滁州市鑫鼎城市更新建设运营有限公司</w:t>
            </w:r>
          </w:p>
          <w:p w14:paraId="6EBF851A">
            <w:pPr>
              <w:adjustRightInd w:val="0"/>
              <w:snapToGrid w:val="0"/>
              <w:spacing w:line="440" w:lineRule="exact"/>
              <w:jc w:val="left"/>
              <w:rPr>
                <w:rFonts w:hint="eastAsia" w:eastAsia="宋体"/>
                <w:color w:val="auto"/>
                <w:lang w:eastAsia="zh-CN" w:bidi="ar"/>
              </w:rPr>
            </w:pPr>
            <w:r>
              <w:rPr>
                <w:rFonts w:hint="eastAsia"/>
                <w:color w:val="auto"/>
                <w:lang w:bidi="ar"/>
              </w:rPr>
              <w:t xml:space="preserve">地址： </w:t>
            </w:r>
            <w:r>
              <w:rPr>
                <w:rFonts w:hint="eastAsia" w:ascii="宋体" w:hAnsi="宋体" w:cs="宋体"/>
                <w:color w:val="auto"/>
              </w:rPr>
              <w:t>安徽省滁州市凤凰东路476号</w:t>
            </w:r>
            <w:r>
              <w:rPr>
                <w:rFonts w:hint="eastAsia" w:ascii="宋体" w:hAnsi="宋体" w:cs="宋体"/>
                <w:color w:val="auto"/>
                <w:lang w:val="en-US" w:eastAsia="zh-CN"/>
              </w:rPr>
              <w:t>城管</w:t>
            </w:r>
            <w:r>
              <w:rPr>
                <w:rFonts w:hint="eastAsia" w:ascii="宋体" w:hAnsi="宋体" w:cs="宋体"/>
                <w:color w:val="auto"/>
              </w:rPr>
              <w:t xml:space="preserve">大厦6楼  </w:t>
            </w:r>
            <w:r>
              <w:rPr>
                <w:rFonts w:hint="eastAsia"/>
                <w:color w:val="auto"/>
                <w:lang w:bidi="ar"/>
              </w:rPr>
              <w:t>联系人：</w:t>
            </w:r>
            <w:r>
              <w:rPr>
                <w:rFonts w:hint="eastAsia" w:ascii="宋体" w:hAnsi="宋体" w:eastAsia="宋体" w:cs="宋体"/>
                <w:color w:val="auto"/>
                <w:sz w:val="21"/>
                <w:szCs w:val="21"/>
                <w:highlight w:val="none"/>
                <w:lang w:val="en-US" w:eastAsia="zh-CN" w:bidi="ar"/>
              </w:rPr>
              <w:t>朱思瑶</w:t>
            </w:r>
            <w:r>
              <w:rPr>
                <w:rFonts w:hint="eastAsia"/>
                <w:color w:val="auto"/>
                <w:lang w:val="en-US" w:eastAsia="zh-CN" w:bidi="ar"/>
              </w:rPr>
              <w:t xml:space="preserve">  </w:t>
            </w:r>
          </w:p>
          <w:p w14:paraId="33347845">
            <w:pPr>
              <w:adjustRightInd w:val="0"/>
              <w:snapToGrid w:val="0"/>
              <w:spacing w:line="440" w:lineRule="exact"/>
              <w:jc w:val="left"/>
              <w:rPr>
                <w:rFonts w:hint="default" w:ascii="宋体" w:hAnsi="宋体" w:cs="宋体"/>
                <w:color w:val="auto"/>
                <w:szCs w:val="21"/>
                <w:lang w:val="en-US"/>
              </w:rPr>
            </w:pPr>
            <w:r>
              <w:rPr>
                <w:rFonts w:hint="eastAsia"/>
                <w:color w:val="auto"/>
                <w:lang w:bidi="ar"/>
              </w:rPr>
              <w:t xml:space="preserve">联系方式：19955068262 </w:t>
            </w:r>
            <w:r>
              <w:rPr>
                <w:rFonts w:hint="eastAsia" w:ascii="宋体" w:hAnsi="宋体" w:cs="宋体"/>
                <w:color w:val="auto"/>
                <w:sz w:val="21"/>
                <w:szCs w:val="21"/>
                <w:highlight w:val="none"/>
                <w:lang w:val="en-US" w:eastAsia="zh-CN"/>
              </w:rPr>
              <w:t xml:space="preserve"> </w:t>
            </w:r>
          </w:p>
        </w:tc>
        <w:tc>
          <w:tcPr>
            <w:tcW w:w="5248" w:type="dxa"/>
            <w:gridSpan w:val="2"/>
            <w:noWrap w:val="0"/>
            <w:vAlign w:val="center"/>
          </w:tcPr>
          <w:p w14:paraId="5F82010C">
            <w:pPr>
              <w:adjustRightInd w:val="0"/>
              <w:snapToGrid w:val="0"/>
              <w:spacing w:line="440" w:lineRule="exact"/>
              <w:jc w:val="left"/>
              <w:rPr>
                <w:rFonts w:hint="eastAsia"/>
                <w:color w:val="auto"/>
                <w:lang w:bidi="ar"/>
              </w:rPr>
            </w:pPr>
            <w:r>
              <w:rPr>
                <w:rFonts w:hint="eastAsia" w:ascii="宋体" w:hAnsi="宋体" w:cs="宋体"/>
                <w:color w:val="auto"/>
                <w:szCs w:val="21"/>
              </w:rPr>
              <w:t>招标代理机构名称：滁州市城投</w:t>
            </w:r>
            <w:r>
              <w:rPr>
                <w:rFonts w:hint="eastAsia"/>
                <w:color w:val="auto"/>
                <w:lang w:bidi="ar"/>
              </w:rPr>
              <w:t xml:space="preserve">工程咨询管理有限公司 </w:t>
            </w:r>
          </w:p>
          <w:p w14:paraId="6996795B">
            <w:pPr>
              <w:adjustRightInd w:val="0"/>
              <w:snapToGrid w:val="0"/>
              <w:spacing w:line="440" w:lineRule="exact"/>
              <w:jc w:val="left"/>
              <w:rPr>
                <w:rFonts w:hint="eastAsia"/>
                <w:color w:val="auto"/>
                <w:lang w:bidi="ar"/>
              </w:rPr>
            </w:pPr>
            <w:r>
              <w:rPr>
                <w:rFonts w:hint="eastAsia"/>
                <w:color w:val="auto"/>
                <w:lang w:bidi="ar"/>
              </w:rPr>
              <w:t>地址： 滁州市龙蟠大道109号房产大厦6楼605室　</w:t>
            </w:r>
          </w:p>
          <w:p w14:paraId="26E94180">
            <w:pPr>
              <w:adjustRightInd w:val="0"/>
              <w:snapToGrid w:val="0"/>
              <w:spacing w:line="440" w:lineRule="exact"/>
              <w:jc w:val="left"/>
              <w:rPr>
                <w:rFonts w:hint="eastAsia" w:ascii="宋体" w:hAnsi="宋体" w:eastAsia="宋体" w:cs="宋体"/>
                <w:color w:val="auto"/>
                <w:lang w:val="en-US" w:eastAsia="zh-CN" w:bidi="ar"/>
              </w:rPr>
            </w:pPr>
            <w:r>
              <w:rPr>
                <w:rFonts w:hint="eastAsia"/>
                <w:color w:val="auto"/>
                <w:lang w:bidi="ar"/>
              </w:rPr>
              <w:t>联系</w:t>
            </w:r>
            <w:r>
              <w:rPr>
                <w:rFonts w:hint="eastAsia" w:ascii="宋体" w:hAnsi="宋体" w:eastAsia="宋体" w:cs="宋体"/>
                <w:color w:val="auto"/>
                <w:lang w:bidi="ar"/>
              </w:rPr>
              <w:t>人：田</w:t>
            </w:r>
            <w:r>
              <w:rPr>
                <w:rFonts w:hint="eastAsia" w:ascii="宋体" w:hAnsi="宋体" w:eastAsia="宋体" w:cs="宋体"/>
                <w:color w:val="auto"/>
                <w:lang w:val="en-US" w:eastAsia="zh-CN" w:bidi="ar"/>
              </w:rPr>
              <w:t>甜</w:t>
            </w:r>
          </w:p>
          <w:p w14:paraId="61196559">
            <w:pPr>
              <w:adjustRightInd w:val="0"/>
              <w:snapToGrid w:val="0"/>
              <w:spacing w:line="440" w:lineRule="exact"/>
              <w:jc w:val="left"/>
              <w:rPr>
                <w:rFonts w:hint="eastAsia" w:ascii="宋体" w:hAnsi="宋体" w:cs="宋体"/>
                <w:color w:val="auto"/>
                <w:kern w:val="0"/>
                <w:szCs w:val="21"/>
                <w:u w:val="single"/>
              </w:rPr>
            </w:pPr>
            <w:r>
              <w:rPr>
                <w:rFonts w:hint="eastAsia" w:ascii="宋体" w:hAnsi="宋体" w:eastAsia="宋体" w:cs="宋体"/>
                <w:color w:val="auto"/>
                <w:lang w:bidi="ar"/>
              </w:rPr>
              <w:t xml:space="preserve">联系方式：0550-3519519、15955005370 </w:t>
            </w:r>
          </w:p>
        </w:tc>
      </w:tr>
      <w:tr w14:paraId="4624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noWrap w:val="0"/>
            <w:vAlign w:val="center"/>
          </w:tcPr>
          <w:p w14:paraId="36F1663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lang w:bidi="ar"/>
              </w:rPr>
            </w:pPr>
            <w:r>
              <w:rPr>
                <w:rFonts w:hint="eastAsia" w:ascii="宋体" w:hAnsi="宋体" w:eastAsia="宋体" w:cs="宋体"/>
                <w:color w:val="auto"/>
                <w:sz w:val="21"/>
                <w:szCs w:val="21"/>
                <w:highlight w:val="none"/>
                <w:lang w:bidi="ar"/>
              </w:rPr>
              <w:t>公告发布媒体：滁州市亭城文化旅游投资集团有限公司网站（http://www.tcwljt.com/default.php）</w:t>
            </w:r>
          </w:p>
        </w:tc>
      </w:tr>
      <w:tr w14:paraId="7AD0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noWrap w:val="0"/>
            <w:vAlign w:val="center"/>
          </w:tcPr>
          <w:p w14:paraId="122D73B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color w:val="auto"/>
                <w:lang w:bidi="ar"/>
              </w:rPr>
            </w:pPr>
            <w:r>
              <w:rPr>
                <w:rFonts w:hint="eastAsia" w:ascii="宋体" w:hAnsi="宋体" w:eastAsia="宋体" w:cs="宋体"/>
                <w:color w:val="auto"/>
                <w:sz w:val="21"/>
                <w:szCs w:val="21"/>
                <w:highlight w:val="none"/>
                <w:lang w:bidi="ar"/>
              </w:rPr>
              <w:t>监督电话:0550-3801220，</w:t>
            </w:r>
            <w:r>
              <w:rPr>
                <w:rFonts w:hint="eastAsia" w:ascii="宋体" w:hAnsi="宋体" w:eastAsia="宋体" w:cs="宋体"/>
                <w:color w:val="auto"/>
                <w:sz w:val="21"/>
                <w:szCs w:val="21"/>
                <w:highlight w:val="none"/>
                <w:lang w:val="en-US" w:eastAsia="zh-CN" w:bidi="ar"/>
              </w:rPr>
              <w:t>驻集团</w:t>
            </w:r>
            <w:r>
              <w:rPr>
                <w:rFonts w:hint="eastAsia" w:ascii="宋体" w:hAnsi="宋体" w:eastAsia="宋体" w:cs="宋体"/>
                <w:color w:val="auto"/>
                <w:sz w:val="21"/>
                <w:szCs w:val="21"/>
                <w:highlight w:val="none"/>
                <w:lang w:bidi="ar"/>
              </w:rPr>
              <w:t>纪检监察组监督电话:0550-3801206</w:t>
            </w:r>
          </w:p>
        </w:tc>
      </w:tr>
      <w:bookmarkEnd w:id="0"/>
    </w:tbl>
    <w:p w14:paraId="4103A9FC">
      <w:pPr>
        <w:jc w:val="center"/>
        <w:rPr>
          <w:rFonts w:hint="eastAsia" w:ascii="宋体" w:hAnsi="宋体" w:eastAsia="宋体" w:cs="宋体"/>
          <w:color w:val="auto"/>
          <w:sz w:val="32"/>
          <w:szCs w:val="32"/>
          <w:highlight w:val="none"/>
        </w:rPr>
      </w:pPr>
    </w:p>
    <w:p w14:paraId="781D51C1">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A、投标须知前附表</w:t>
      </w:r>
    </w:p>
    <w:tbl>
      <w:tblPr>
        <w:tblStyle w:val="47"/>
        <w:tblW w:w="10125" w:type="dxa"/>
        <w:tblInd w:w="-797" w:type="dxa"/>
        <w:tblLayout w:type="fixed"/>
        <w:tblCellMar>
          <w:top w:w="0" w:type="dxa"/>
          <w:left w:w="0" w:type="dxa"/>
          <w:bottom w:w="0" w:type="dxa"/>
          <w:right w:w="0" w:type="dxa"/>
        </w:tblCellMar>
      </w:tblPr>
      <w:tblGrid>
        <w:gridCol w:w="1392"/>
        <w:gridCol w:w="1400"/>
        <w:gridCol w:w="7333"/>
      </w:tblGrid>
      <w:tr w14:paraId="53404DDE">
        <w:tblPrEx>
          <w:tblCellMar>
            <w:top w:w="0" w:type="dxa"/>
            <w:left w:w="0" w:type="dxa"/>
            <w:bottom w:w="0" w:type="dxa"/>
            <w:right w:w="0" w:type="dxa"/>
          </w:tblCellMar>
        </w:tblPrEx>
        <w:trPr>
          <w:trHeight w:val="580" w:hRule="atLeast"/>
        </w:trPr>
        <w:tc>
          <w:tcPr>
            <w:tcW w:w="1392" w:type="dxa"/>
            <w:tcBorders>
              <w:top w:val="single" w:color="auto" w:sz="8" w:space="0"/>
              <w:left w:val="single" w:color="auto" w:sz="8" w:space="0"/>
              <w:bottom w:val="single" w:color="auto" w:sz="8" w:space="0"/>
              <w:right w:val="single" w:color="auto" w:sz="8" w:space="0"/>
            </w:tcBorders>
            <w:vAlign w:val="center"/>
          </w:tcPr>
          <w:p w14:paraId="2512288B">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编号</w:t>
            </w:r>
          </w:p>
        </w:tc>
        <w:tc>
          <w:tcPr>
            <w:tcW w:w="1400" w:type="dxa"/>
            <w:tcBorders>
              <w:top w:val="single" w:color="auto" w:sz="8" w:space="0"/>
              <w:left w:val="single" w:color="auto" w:sz="4" w:space="0"/>
              <w:bottom w:val="single" w:color="auto" w:sz="8" w:space="0"/>
              <w:right w:val="single" w:color="auto" w:sz="4" w:space="0"/>
            </w:tcBorders>
            <w:vAlign w:val="center"/>
          </w:tcPr>
          <w:p w14:paraId="6E97E066">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7333" w:type="dxa"/>
            <w:tcBorders>
              <w:top w:val="single" w:color="auto" w:sz="8" w:space="0"/>
              <w:left w:val="single" w:color="auto" w:sz="4" w:space="0"/>
              <w:bottom w:val="single" w:color="auto" w:sz="8" w:space="0"/>
              <w:right w:val="single" w:color="auto" w:sz="8" w:space="0"/>
            </w:tcBorders>
            <w:vAlign w:val="center"/>
          </w:tcPr>
          <w:p w14:paraId="6E0914EF">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说明与要求</w:t>
            </w:r>
          </w:p>
        </w:tc>
      </w:tr>
      <w:tr w14:paraId="68A4CD96">
        <w:tblPrEx>
          <w:tblCellMar>
            <w:top w:w="0" w:type="dxa"/>
            <w:left w:w="0" w:type="dxa"/>
            <w:bottom w:w="0" w:type="dxa"/>
            <w:right w:w="0" w:type="dxa"/>
          </w:tblCellMar>
        </w:tblPrEx>
        <w:trPr>
          <w:trHeight w:val="986" w:hRule="atLeast"/>
        </w:trPr>
        <w:tc>
          <w:tcPr>
            <w:tcW w:w="1392" w:type="dxa"/>
            <w:tcBorders>
              <w:top w:val="single" w:color="auto" w:sz="8" w:space="0"/>
              <w:left w:val="single" w:color="auto" w:sz="8" w:space="0"/>
              <w:bottom w:val="single" w:color="auto" w:sz="8" w:space="0"/>
              <w:right w:val="single" w:color="auto" w:sz="8" w:space="0"/>
            </w:tcBorders>
            <w:vAlign w:val="center"/>
          </w:tcPr>
          <w:p w14:paraId="659F72E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00" w:type="dxa"/>
            <w:tcBorders>
              <w:top w:val="single" w:color="auto" w:sz="8" w:space="0"/>
              <w:left w:val="single" w:color="auto" w:sz="4" w:space="0"/>
              <w:bottom w:val="single" w:color="auto" w:sz="8" w:space="0"/>
              <w:right w:val="single" w:color="auto" w:sz="4" w:space="0"/>
            </w:tcBorders>
            <w:vAlign w:val="center"/>
          </w:tcPr>
          <w:p w14:paraId="5EC995ED">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333" w:type="dxa"/>
            <w:tcBorders>
              <w:top w:val="single" w:color="auto" w:sz="8" w:space="0"/>
              <w:left w:val="single" w:color="auto" w:sz="4" w:space="0"/>
              <w:bottom w:val="single" w:color="auto" w:sz="8" w:space="0"/>
              <w:right w:val="single" w:color="auto" w:sz="8" w:space="0"/>
            </w:tcBorders>
            <w:vAlign w:val="center"/>
          </w:tcPr>
          <w:p w14:paraId="02293ACA">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名称：亭城玺悦里项目沙盘、品牌墙制作采购</w:t>
            </w:r>
          </w:p>
          <w:p w14:paraId="41871087">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40EDB440">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建设规模：项目位于中都大道与花亭路交叉口</w:t>
            </w:r>
            <w:r>
              <w:rPr>
                <w:rFonts w:hint="eastAsia" w:ascii="宋体" w:hAnsi="宋体" w:cs="宋体"/>
                <w:color w:val="auto"/>
                <w:kern w:val="0"/>
                <w:sz w:val="21"/>
                <w:szCs w:val="21"/>
                <w:highlight w:val="none"/>
                <w:lang w:val="en-US" w:eastAsia="zh-CN"/>
              </w:rPr>
              <w:t>东</w:t>
            </w:r>
            <w:r>
              <w:rPr>
                <w:rFonts w:hint="eastAsia" w:ascii="宋体" w:hAnsi="宋体" w:eastAsia="宋体" w:cs="宋体"/>
                <w:color w:val="auto"/>
                <w:kern w:val="0"/>
                <w:sz w:val="21"/>
                <w:szCs w:val="21"/>
                <w:highlight w:val="none"/>
              </w:rPr>
              <w:t>北侧，处于龙蟠河景观带北，总占地约71亩，总建筑面积约10万方，绿地率高达35%，容积率为1.29，共规划有1幢商业、3幢约127㎡-197㎡10F小高层、7幢约134㎡-170㎡6-8F洋房，12幢约214㎡-238㎡上下4F叠墅产品，共计约350住户</w:t>
            </w:r>
            <w:r>
              <w:rPr>
                <w:rFonts w:hint="eastAsia" w:ascii="宋体" w:hAnsi="宋体" w:cs="宋体"/>
                <w:color w:val="auto"/>
                <w:kern w:val="0"/>
                <w:sz w:val="21"/>
                <w:szCs w:val="21"/>
                <w:highlight w:val="none"/>
                <w:lang w:eastAsia="zh-CN"/>
              </w:rPr>
              <w:t>。</w:t>
            </w:r>
          </w:p>
        </w:tc>
      </w:tr>
      <w:tr w14:paraId="5FEB17CA">
        <w:tblPrEx>
          <w:tblCellMar>
            <w:top w:w="0" w:type="dxa"/>
            <w:left w:w="0" w:type="dxa"/>
            <w:bottom w:w="0" w:type="dxa"/>
            <w:right w:w="0" w:type="dxa"/>
          </w:tblCellMar>
        </w:tblPrEx>
        <w:trPr>
          <w:trHeight w:val="90" w:hRule="atLeast"/>
        </w:trPr>
        <w:tc>
          <w:tcPr>
            <w:tcW w:w="1392" w:type="dxa"/>
            <w:tcBorders>
              <w:top w:val="single" w:color="auto" w:sz="8" w:space="0"/>
              <w:left w:val="single" w:color="auto" w:sz="8" w:space="0"/>
              <w:bottom w:val="single" w:color="auto" w:sz="8" w:space="0"/>
              <w:right w:val="single" w:color="auto" w:sz="8" w:space="0"/>
            </w:tcBorders>
            <w:vAlign w:val="center"/>
          </w:tcPr>
          <w:p w14:paraId="0AD43DA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00" w:type="dxa"/>
            <w:tcBorders>
              <w:top w:val="single" w:color="auto" w:sz="8" w:space="0"/>
              <w:left w:val="single" w:color="auto" w:sz="4" w:space="0"/>
              <w:bottom w:val="single" w:color="auto" w:sz="8" w:space="0"/>
              <w:right w:val="single" w:color="auto" w:sz="4" w:space="0"/>
            </w:tcBorders>
            <w:vAlign w:val="center"/>
          </w:tcPr>
          <w:p w14:paraId="2B17353B">
            <w:pPr>
              <w:keepNext w:val="0"/>
              <w:keepLines w:val="0"/>
              <w:pageBreakBefore w:val="0"/>
              <w:kinsoku/>
              <w:wordWrap/>
              <w:overflowPunct/>
              <w:topLinePunct w:val="0"/>
              <w:autoSpaceDE/>
              <w:autoSpaceDN/>
              <w:bidi w:val="0"/>
              <w:adjustRightInd/>
              <w:snapToGrid/>
              <w:spacing w:line="37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招标范围</w:t>
            </w:r>
            <w:r>
              <w:rPr>
                <w:rFonts w:hint="eastAsia" w:ascii="宋体" w:hAnsi="宋体" w:cs="宋体"/>
                <w:color w:val="auto"/>
                <w:kern w:val="0"/>
                <w:sz w:val="21"/>
                <w:szCs w:val="21"/>
                <w:highlight w:val="none"/>
                <w:lang w:val="en-US" w:eastAsia="zh-CN"/>
              </w:rPr>
              <w:t>及要求</w:t>
            </w:r>
          </w:p>
        </w:tc>
        <w:tc>
          <w:tcPr>
            <w:tcW w:w="7333" w:type="dxa"/>
            <w:tcBorders>
              <w:top w:val="single" w:color="auto" w:sz="8" w:space="0"/>
              <w:left w:val="single" w:color="auto" w:sz="4" w:space="0"/>
              <w:bottom w:val="single" w:color="auto" w:sz="8" w:space="0"/>
              <w:right w:val="single" w:color="auto" w:sz="8" w:space="0"/>
            </w:tcBorders>
            <w:vAlign w:val="center"/>
          </w:tcPr>
          <w:p w14:paraId="5F34CD5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lang w:val="en-US" w:eastAsia="zh-CN"/>
              </w:rPr>
            </w:pPr>
            <w:r>
              <w:rPr>
                <w:rFonts w:hint="default" w:ascii="宋体" w:hAnsi="宋体" w:eastAsia="宋体" w:cs="宋体"/>
                <w:color w:val="auto"/>
                <w:szCs w:val="21"/>
                <w:lang w:val="en-US" w:eastAsia="zh-CN"/>
              </w:rPr>
              <w:t>本次招标内容为亭城玺悦里营销招采，具体招采内容为临展沙盘、子母沙盘、品牌墙</w:t>
            </w:r>
            <w:r>
              <w:rPr>
                <w:rFonts w:hint="eastAsia" w:ascii="宋体" w:hAnsi="宋体" w:eastAsia="宋体" w:cs="宋体"/>
                <w:color w:val="auto"/>
                <w:szCs w:val="21"/>
                <w:lang w:val="en-US" w:eastAsia="zh-CN"/>
              </w:rPr>
              <w:t>等。</w:t>
            </w:r>
          </w:p>
          <w:p w14:paraId="3D29B30C">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一）.营销中心子母沙盘：沙盘尺寸3.7m*5.7m（其中本案尺寸2.14m*3.7m，区位尺寸3.56m*3.7m）。要求：此沙盘模型的制作风格倾向于现代风格，要求简洁、大气、突出高端项目形象。水系采用真水雾化系统制作，底座采用天然大理石底座。</w:t>
            </w:r>
          </w:p>
          <w:p w14:paraId="609DA1A2">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品牌墙：尺寸暂定：8.0m*2.2m。品牌墙要求：墙面整体轻钢龙骨框架，木饰面打底，面层不锈钢电镀色;字体迷你发光字，水晶字，部分字体丝印;精工不锈钢发光地图;画面超薄迷你灯箱，正背发光;墙面造型及部分线条发光。材质颜色为亚克力石。</w:t>
            </w:r>
          </w:p>
          <w:p w14:paraId="7E3E50F7">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eastAsia="宋体"/>
                <w:color w:val="auto"/>
                <w:highlight w:val="none"/>
                <w:lang w:val="en-US" w:eastAsia="zh-CN"/>
              </w:rPr>
            </w:pPr>
            <w:r>
              <w:rPr>
                <w:rFonts w:hint="eastAsia" w:ascii="宋体" w:hAnsi="宋体" w:eastAsia="宋体" w:cs="宋体"/>
                <w:color w:val="auto"/>
                <w:szCs w:val="21"/>
                <w:lang w:val="en-US" w:eastAsia="zh-CN"/>
              </w:rPr>
              <w:t>（三）临展沙盘：尺寸暂定为：1.2m*1.8m，沙盘建筑采用整体水晶体制作，所有景观、路网、草地采用写意风格制作。</w:t>
            </w:r>
          </w:p>
        </w:tc>
      </w:tr>
      <w:tr w14:paraId="3D4924B0">
        <w:tblPrEx>
          <w:tblCellMar>
            <w:top w:w="0" w:type="dxa"/>
            <w:left w:w="0" w:type="dxa"/>
            <w:bottom w:w="0" w:type="dxa"/>
            <w:right w:w="0" w:type="dxa"/>
          </w:tblCellMar>
        </w:tblPrEx>
        <w:trPr>
          <w:trHeight w:val="315" w:hRule="atLeast"/>
        </w:trPr>
        <w:tc>
          <w:tcPr>
            <w:tcW w:w="1392" w:type="dxa"/>
            <w:tcBorders>
              <w:top w:val="single" w:color="auto" w:sz="8" w:space="0"/>
              <w:left w:val="single" w:color="auto" w:sz="8" w:space="0"/>
              <w:bottom w:val="single" w:color="auto" w:sz="8" w:space="0"/>
              <w:right w:val="single" w:color="auto" w:sz="8" w:space="0"/>
            </w:tcBorders>
            <w:vAlign w:val="center"/>
          </w:tcPr>
          <w:p w14:paraId="3FD47AE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00" w:type="dxa"/>
            <w:tcBorders>
              <w:top w:val="single" w:color="auto" w:sz="8" w:space="0"/>
              <w:left w:val="single" w:color="auto" w:sz="4" w:space="0"/>
              <w:bottom w:val="single" w:color="auto" w:sz="8" w:space="0"/>
              <w:right w:val="single" w:color="auto" w:sz="4" w:space="0"/>
            </w:tcBorders>
            <w:vAlign w:val="center"/>
          </w:tcPr>
          <w:p w14:paraId="4D3542B0">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工</w:t>
            </w:r>
            <w:r>
              <w:rPr>
                <w:rFonts w:hint="eastAsia" w:ascii="宋体" w:hAnsi="宋体" w:eastAsia="宋体" w:cs="宋体"/>
                <w:color w:val="auto"/>
                <w:kern w:val="0"/>
                <w:sz w:val="21"/>
                <w:szCs w:val="21"/>
                <w:highlight w:val="none"/>
              </w:rPr>
              <w:t>期要求</w:t>
            </w:r>
          </w:p>
        </w:tc>
        <w:tc>
          <w:tcPr>
            <w:tcW w:w="7333" w:type="dxa"/>
            <w:tcBorders>
              <w:top w:val="single" w:color="auto" w:sz="8" w:space="0"/>
              <w:left w:val="single" w:color="auto" w:sz="4" w:space="0"/>
              <w:bottom w:val="single" w:color="auto" w:sz="8" w:space="0"/>
              <w:right w:val="single" w:color="auto" w:sz="8" w:space="0"/>
            </w:tcBorders>
            <w:vAlign w:val="center"/>
          </w:tcPr>
          <w:p w14:paraId="22CD394D">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（一）临展写意沙盘制作及安装工期要求自合同签订之日起不超过20个日历天</w:t>
            </w:r>
            <w:r>
              <w:rPr>
                <w:rFonts w:hint="eastAsia" w:ascii="宋体" w:hAnsi="宋体" w:cs="宋体"/>
                <w:color w:val="auto"/>
                <w:sz w:val="21"/>
                <w:szCs w:val="21"/>
                <w:highlight w:val="none"/>
                <w:lang w:val="en-US" w:eastAsia="zh-CN"/>
              </w:rPr>
              <w:t>完成</w:t>
            </w:r>
            <w:r>
              <w:rPr>
                <w:rFonts w:hint="default" w:ascii="宋体" w:hAnsi="宋体" w:eastAsia="宋体" w:cs="宋体"/>
                <w:color w:val="auto"/>
                <w:sz w:val="21"/>
                <w:szCs w:val="21"/>
                <w:highlight w:val="none"/>
                <w:lang w:val="en-US" w:eastAsia="zh-CN"/>
              </w:rPr>
              <w:t>。</w:t>
            </w:r>
          </w:p>
          <w:p w14:paraId="47B2FBD1">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（二）子母沙盘及户型墙工期要求自合同签订之日起40个日历天内完成全部制作和安装，满足开放条件。</w:t>
            </w:r>
          </w:p>
          <w:p w14:paraId="1953AD64">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若因乙方因素造成延期，每延期1天按合同价的1%进行处罚，工期提前不奖励。</w:t>
            </w:r>
          </w:p>
        </w:tc>
      </w:tr>
      <w:tr w14:paraId="660BD710">
        <w:tblPrEx>
          <w:tblCellMar>
            <w:top w:w="0" w:type="dxa"/>
            <w:left w:w="0" w:type="dxa"/>
            <w:bottom w:w="0" w:type="dxa"/>
            <w:right w:w="0" w:type="dxa"/>
          </w:tblCellMar>
        </w:tblPrEx>
        <w:trPr>
          <w:trHeight w:val="425" w:hRule="atLeast"/>
        </w:trPr>
        <w:tc>
          <w:tcPr>
            <w:tcW w:w="1392" w:type="dxa"/>
            <w:tcBorders>
              <w:top w:val="single" w:color="auto" w:sz="8" w:space="0"/>
              <w:left w:val="single" w:color="auto" w:sz="8" w:space="0"/>
              <w:bottom w:val="single" w:color="auto" w:sz="8" w:space="0"/>
              <w:right w:val="single" w:color="auto" w:sz="8" w:space="0"/>
            </w:tcBorders>
            <w:vAlign w:val="center"/>
          </w:tcPr>
          <w:p w14:paraId="1F5148E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00" w:type="dxa"/>
            <w:tcBorders>
              <w:top w:val="single" w:color="auto" w:sz="8" w:space="0"/>
              <w:left w:val="single" w:color="auto" w:sz="4" w:space="0"/>
              <w:bottom w:val="single" w:color="auto" w:sz="8" w:space="0"/>
              <w:right w:val="single" w:color="auto" w:sz="4" w:space="0"/>
            </w:tcBorders>
            <w:vAlign w:val="center"/>
          </w:tcPr>
          <w:p w14:paraId="5EA55096">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7333" w:type="dxa"/>
            <w:tcBorders>
              <w:top w:val="single" w:color="auto" w:sz="8" w:space="0"/>
              <w:left w:val="single" w:color="auto" w:sz="4" w:space="0"/>
              <w:bottom w:val="single" w:color="auto" w:sz="8" w:space="0"/>
              <w:right w:val="single" w:color="auto" w:sz="8" w:space="0"/>
            </w:tcBorders>
            <w:vAlign w:val="center"/>
          </w:tcPr>
          <w:p w14:paraId="697D866B">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服务成果应达到或满足国家规程、规范及招标人要求的质量目标，满足工程施工及竣工验收要求。如经</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eastAsia="zh-CN"/>
              </w:rPr>
              <w:t>审核验收不达标，由</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承担结果，并按照合同要求执行</w:t>
            </w:r>
            <w:r>
              <w:rPr>
                <w:rFonts w:hint="eastAsia" w:ascii="宋体" w:hAnsi="宋体" w:cs="宋体"/>
                <w:color w:val="auto"/>
                <w:sz w:val="21"/>
                <w:szCs w:val="21"/>
                <w:highlight w:val="none"/>
                <w:lang w:eastAsia="zh-CN"/>
              </w:rPr>
              <w:t>。</w:t>
            </w:r>
          </w:p>
        </w:tc>
      </w:tr>
      <w:tr w14:paraId="06C2EC6E">
        <w:tblPrEx>
          <w:tblCellMar>
            <w:top w:w="0" w:type="dxa"/>
            <w:left w:w="0" w:type="dxa"/>
            <w:bottom w:w="0" w:type="dxa"/>
            <w:right w:w="0" w:type="dxa"/>
          </w:tblCellMar>
        </w:tblPrEx>
        <w:trPr>
          <w:trHeight w:val="744" w:hRule="atLeast"/>
        </w:trPr>
        <w:tc>
          <w:tcPr>
            <w:tcW w:w="1392" w:type="dxa"/>
            <w:tcBorders>
              <w:top w:val="single" w:color="auto" w:sz="8" w:space="0"/>
              <w:left w:val="single" w:color="auto" w:sz="8" w:space="0"/>
              <w:bottom w:val="single" w:color="auto" w:sz="8" w:space="0"/>
              <w:right w:val="single" w:color="auto" w:sz="8" w:space="0"/>
            </w:tcBorders>
            <w:vAlign w:val="center"/>
          </w:tcPr>
          <w:p w14:paraId="35EC44C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00" w:type="dxa"/>
            <w:tcBorders>
              <w:top w:val="single" w:color="auto" w:sz="8" w:space="0"/>
              <w:left w:val="single" w:color="auto" w:sz="4" w:space="0"/>
              <w:bottom w:val="single" w:color="auto" w:sz="8" w:space="0"/>
              <w:right w:val="single" w:color="auto" w:sz="4" w:space="0"/>
            </w:tcBorders>
            <w:vAlign w:val="center"/>
          </w:tcPr>
          <w:p w14:paraId="4B829F1B">
            <w:pPr>
              <w:widowControl/>
              <w:adjustRightInd w:val="0"/>
              <w:snapToGrid w:val="0"/>
              <w:spacing w:line="44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Cs w:val="21"/>
              </w:rPr>
              <w:t>投标人资格要求</w:t>
            </w:r>
          </w:p>
        </w:tc>
        <w:tc>
          <w:tcPr>
            <w:tcW w:w="7333" w:type="dxa"/>
            <w:tcBorders>
              <w:top w:val="single" w:color="auto" w:sz="8" w:space="0"/>
              <w:left w:val="single" w:color="auto" w:sz="4" w:space="0"/>
              <w:bottom w:val="single" w:color="auto" w:sz="8" w:space="0"/>
              <w:right w:val="single" w:color="auto" w:sz="8" w:space="0"/>
            </w:tcBorders>
            <w:vAlign w:val="center"/>
          </w:tcPr>
          <w:p w14:paraId="626EB4D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default" w:ascii="宋体" w:hAnsi="宋体" w:eastAsia="宋体" w:cs="宋体"/>
                <w:color w:val="auto"/>
                <w:szCs w:val="21"/>
                <w:lang w:val="en-US" w:eastAsia="zh-CN"/>
              </w:rPr>
              <w:t>投标人承担过房地产市场合作项目（提供合同复印件加盖</w:t>
            </w:r>
            <w:r>
              <w:rPr>
                <w:rFonts w:hint="eastAsia" w:ascii="宋体" w:hAnsi="宋体" w:cs="宋体"/>
                <w:color w:val="auto"/>
                <w:szCs w:val="21"/>
                <w:lang w:val="en-US" w:eastAsia="zh-CN"/>
              </w:rPr>
              <w:t>投标人</w:t>
            </w:r>
            <w:r>
              <w:rPr>
                <w:rFonts w:hint="default" w:ascii="宋体" w:hAnsi="宋体" w:eastAsia="宋体" w:cs="宋体"/>
                <w:color w:val="auto"/>
                <w:szCs w:val="21"/>
                <w:lang w:val="en-US" w:eastAsia="zh-CN"/>
              </w:rPr>
              <w:t>公章，</w:t>
            </w:r>
            <w:r>
              <w:rPr>
                <w:rFonts w:hint="eastAsia" w:ascii="宋体" w:hAnsi="宋体" w:cs="宋体"/>
                <w:color w:val="auto"/>
                <w:szCs w:val="21"/>
                <w:lang w:val="en-US" w:eastAsia="zh-CN"/>
              </w:rPr>
              <w:t>合同</w:t>
            </w:r>
            <w:r>
              <w:rPr>
                <w:rFonts w:hint="default" w:ascii="宋体" w:hAnsi="宋体" w:eastAsia="宋体" w:cs="宋体"/>
                <w:color w:val="auto"/>
                <w:szCs w:val="21"/>
                <w:lang w:val="en-US" w:eastAsia="zh-CN"/>
              </w:rPr>
              <w:t>原件备查）；</w:t>
            </w:r>
          </w:p>
          <w:p w14:paraId="253A931E">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2.自2021年6月以来（时间以合同签订时间为准），投标人承担过合同金额18万元及以上的类似项目业绩（合同内容至少有2项类别与采购内容相符合，提供合同复印件加盖</w:t>
            </w:r>
            <w:r>
              <w:rPr>
                <w:rFonts w:hint="eastAsia" w:ascii="宋体" w:hAnsi="宋体" w:cs="宋体"/>
                <w:color w:val="auto"/>
                <w:szCs w:val="21"/>
                <w:lang w:val="en-US" w:eastAsia="zh-CN"/>
              </w:rPr>
              <w:t>投标人</w:t>
            </w:r>
            <w:r>
              <w:rPr>
                <w:rFonts w:hint="eastAsia" w:ascii="宋体" w:hAnsi="宋体" w:eastAsia="宋体" w:cs="宋体"/>
                <w:color w:val="auto"/>
                <w:szCs w:val="21"/>
                <w:lang w:val="en-US" w:eastAsia="zh-CN"/>
              </w:rPr>
              <w:t>公章，原件备查）</w:t>
            </w:r>
            <w:r>
              <w:rPr>
                <w:rFonts w:hint="default" w:ascii="宋体" w:hAnsi="宋体" w:eastAsia="宋体" w:cs="宋体"/>
                <w:color w:val="auto"/>
                <w:szCs w:val="21"/>
                <w:lang w:val="en-US" w:eastAsia="zh-CN"/>
              </w:rPr>
              <w:t>；</w:t>
            </w:r>
          </w:p>
          <w:p w14:paraId="126694BE">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w:t>
            </w:r>
            <w:r>
              <w:rPr>
                <w:rFonts w:hint="eastAsia" w:ascii="宋体" w:hAnsi="宋体" w:eastAsia="宋体" w:cs="宋体"/>
                <w:color w:val="auto"/>
                <w:szCs w:val="21"/>
              </w:rPr>
              <w:t>投标人存在以下情形之一的，不得被确定为中标人：</w:t>
            </w:r>
          </w:p>
          <w:p w14:paraId="4E870148">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①投标人被人民法院列入失信被执行人的；</w:t>
            </w:r>
          </w:p>
          <w:p w14:paraId="75C133A6">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②投标人或其法定代表人或拟派项目经理（建造师）前三年有行贿犯罪行为的；</w:t>
            </w:r>
          </w:p>
          <w:p w14:paraId="6610AE0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③投标人被市场监督管理部门列入经营异常名录或者严重违法企业名单，且未被移除的；</w:t>
            </w:r>
          </w:p>
          <w:p w14:paraId="469467FF">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④投标人被税务部门列入重大税收违法案件当事人的；</w:t>
            </w:r>
          </w:p>
          <w:p w14:paraId="381F2903">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⑤在“信用中国”网站上披露仍在公示期的严重失信行为的；</w:t>
            </w:r>
          </w:p>
          <w:p w14:paraId="09805597">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⑥被滁州市县两级各行业主管部门及公管部门取消在一定期限内的投标资格且在取消期限内的；</w:t>
            </w:r>
          </w:p>
          <w:p w14:paraId="32CA6867">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⑦被滁州市县两级公管部门记入不良行为记录或者信用信息记录，且在披露期内的。</w:t>
            </w:r>
          </w:p>
          <w:p w14:paraId="327AFCB6">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⑧被人力资源社会保障主管部门列入拖欠农民工工资‘黑名单’或因拖欠农民工工资被县级及以上有关行政主管部门限制投标资格且在限制期限内的。</w:t>
            </w:r>
          </w:p>
          <w:p w14:paraId="6E27FFFE">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⑨被列入省级、市级农民工工资支付异常名录的施工企业，限制其参加全市范围内房建和市政工程建设项目投标；列入县级异常名录的施工企业，限制其参加本行政区域内房建和市政建设项目投标。</w:t>
            </w:r>
          </w:p>
          <w:p w14:paraId="044E52E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w:t>
            </w:r>
            <w:r>
              <w:rPr>
                <w:rFonts w:hint="eastAsia" w:ascii="宋体" w:hAnsi="宋体" w:eastAsia="宋体" w:cs="宋体"/>
                <w:color w:val="auto"/>
                <w:szCs w:val="21"/>
              </w:rPr>
              <w:t>投标人所属分公司、办事处等分支机构存在第</w:t>
            </w:r>
            <w:r>
              <w:rPr>
                <w:rFonts w:hint="eastAsia" w:ascii="宋体" w:hAnsi="宋体" w:cs="宋体"/>
                <w:color w:val="auto"/>
                <w:szCs w:val="21"/>
                <w:lang w:val="en-US" w:eastAsia="zh-CN"/>
              </w:rPr>
              <w:t>3</w:t>
            </w:r>
            <w:r>
              <w:rPr>
                <w:rFonts w:hint="eastAsia" w:ascii="宋体" w:hAnsi="宋体" w:eastAsia="宋体" w:cs="宋体"/>
                <w:color w:val="auto"/>
                <w:szCs w:val="21"/>
              </w:rPr>
              <w:t>条信誉要求①-⑨项情形之一的，接受其被确定为中标人。</w:t>
            </w:r>
          </w:p>
          <w:p w14:paraId="3A95B6A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Cs w:val="21"/>
              </w:rPr>
              <w:t>备注：第</w:t>
            </w:r>
            <w:r>
              <w:rPr>
                <w:rFonts w:hint="eastAsia" w:ascii="宋体" w:hAnsi="宋体" w:cs="宋体"/>
                <w:color w:val="auto"/>
                <w:szCs w:val="21"/>
                <w:lang w:val="en-US" w:eastAsia="zh-CN"/>
              </w:rPr>
              <w:t>3.4</w:t>
            </w:r>
            <w:r>
              <w:rPr>
                <w:rFonts w:hint="eastAsia" w:ascii="宋体" w:hAnsi="宋体" w:eastAsia="宋体" w:cs="宋体"/>
                <w:color w:val="auto"/>
                <w:szCs w:val="21"/>
              </w:rPr>
              <w:t>条按照附件1“关于联合惩戒失信行为加强信用查询管理的通知”查询或承诺。</w:t>
            </w:r>
          </w:p>
        </w:tc>
      </w:tr>
      <w:tr w14:paraId="690A4021">
        <w:tblPrEx>
          <w:tblCellMar>
            <w:top w:w="0" w:type="dxa"/>
            <w:left w:w="0" w:type="dxa"/>
            <w:bottom w:w="0" w:type="dxa"/>
            <w:right w:w="0" w:type="dxa"/>
          </w:tblCellMar>
        </w:tblPrEx>
        <w:trPr>
          <w:trHeight w:val="656" w:hRule="atLeast"/>
        </w:trPr>
        <w:tc>
          <w:tcPr>
            <w:tcW w:w="1392" w:type="dxa"/>
            <w:tcBorders>
              <w:top w:val="single" w:color="auto" w:sz="8" w:space="0"/>
              <w:left w:val="single" w:color="auto" w:sz="8" w:space="0"/>
              <w:bottom w:val="single" w:color="auto" w:sz="8" w:space="0"/>
              <w:right w:val="single" w:color="auto" w:sz="8" w:space="0"/>
            </w:tcBorders>
            <w:vAlign w:val="center"/>
          </w:tcPr>
          <w:p w14:paraId="117C98A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00" w:type="dxa"/>
            <w:tcBorders>
              <w:top w:val="single" w:color="auto" w:sz="8" w:space="0"/>
              <w:left w:val="single" w:color="auto" w:sz="4" w:space="0"/>
              <w:bottom w:val="single" w:color="auto" w:sz="8" w:space="0"/>
              <w:right w:val="single" w:color="auto" w:sz="4" w:space="0"/>
            </w:tcBorders>
            <w:vAlign w:val="center"/>
          </w:tcPr>
          <w:p w14:paraId="330DC98E">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333" w:type="dxa"/>
            <w:tcBorders>
              <w:top w:val="single" w:color="auto" w:sz="8" w:space="0"/>
              <w:left w:val="single" w:color="auto" w:sz="4" w:space="0"/>
              <w:bottom w:val="single" w:color="auto" w:sz="8" w:space="0"/>
              <w:right w:val="single" w:color="auto" w:sz="8" w:space="0"/>
            </w:tcBorders>
            <w:vAlign w:val="center"/>
          </w:tcPr>
          <w:p w14:paraId="0FE491CE">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5A12304C">
        <w:tblPrEx>
          <w:tblCellMar>
            <w:top w:w="0" w:type="dxa"/>
            <w:left w:w="0" w:type="dxa"/>
            <w:bottom w:w="0" w:type="dxa"/>
            <w:right w:w="0" w:type="dxa"/>
          </w:tblCellMar>
        </w:tblPrEx>
        <w:trPr>
          <w:trHeight w:val="435" w:hRule="atLeast"/>
        </w:trPr>
        <w:tc>
          <w:tcPr>
            <w:tcW w:w="1392" w:type="dxa"/>
            <w:tcBorders>
              <w:top w:val="single" w:color="auto" w:sz="8" w:space="0"/>
              <w:left w:val="single" w:color="auto" w:sz="8" w:space="0"/>
              <w:bottom w:val="single" w:color="auto" w:sz="8" w:space="0"/>
              <w:right w:val="single" w:color="auto" w:sz="8" w:space="0"/>
            </w:tcBorders>
            <w:vAlign w:val="center"/>
          </w:tcPr>
          <w:p w14:paraId="3FAF932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00" w:type="dxa"/>
            <w:tcBorders>
              <w:top w:val="single" w:color="auto" w:sz="8" w:space="0"/>
              <w:left w:val="single" w:color="auto" w:sz="4" w:space="0"/>
              <w:bottom w:val="single" w:color="auto" w:sz="8" w:space="0"/>
              <w:right w:val="single" w:color="auto" w:sz="4" w:space="0"/>
            </w:tcBorders>
            <w:vAlign w:val="center"/>
          </w:tcPr>
          <w:p w14:paraId="7D14631B">
            <w:pPr>
              <w:pStyle w:val="28"/>
              <w:keepNext w:val="0"/>
              <w:keepLines w:val="0"/>
              <w:pageBreakBefore w:val="0"/>
              <w:kinsoku/>
              <w:wordWrap/>
              <w:overflowPunct/>
              <w:topLinePunct w:val="0"/>
              <w:autoSpaceDE/>
              <w:autoSpaceDN/>
              <w:bidi w:val="0"/>
              <w:adjustRightInd/>
              <w:snapToGrid/>
              <w:spacing w:line="370" w:lineRule="exact"/>
              <w:ind w:left="31680" w:hanging="1260" w:hangingChars="6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投标文件份数</w:t>
            </w:r>
          </w:p>
        </w:tc>
        <w:tc>
          <w:tcPr>
            <w:tcW w:w="7333" w:type="dxa"/>
            <w:tcBorders>
              <w:top w:val="single" w:color="auto" w:sz="8" w:space="0"/>
              <w:left w:val="single" w:color="auto" w:sz="4" w:space="0"/>
              <w:bottom w:val="single" w:color="auto" w:sz="8" w:space="0"/>
              <w:right w:val="single" w:color="auto" w:sz="8" w:space="0"/>
            </w:tcBorders>
            <w:vAlign w:val="center"/>
          </w:tcPr>
          <w:p w14:paraId="2D41F3DE">
            <w:pPr>
              <w:pStyle w:val="28"/>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正本</w:t>
            </w:r>
            <w:r>
              <w:rPr>
                <w:rFonts w:hint="eastAsia" w:ascii="宋体" w:hAnsi="宋体" w:eastAsia="宋体" w:cs="宋体"/>
                <w:color w:val="auto"/>
                <w:kern w:val="0"/>
                <w:sz w:val="21"/>
                <w:szCs w:val="21"/>
                <w:highlight w:val="none"/>
                <w:u w:val="single"/>
              </w:rPr>
              <w:t>一</w:t>
            </w:r>
            <w:r>
              <w:rPr>
                <w:rFonts w:hint="eastAsia" w:ascii="宋体" w:hAnsi="宋体" w:eastAsia="宋体" w:cs="宋体"/>
                <w:color w:val="auto"/>
                <w:kern w:val="0"/>
                <w:sz w:val="21"/>
                <w:szCs w:val="21"/>
                <w:highlight w:val="none"/>
              </w:rPr>
              <w:t>份，副本</w:t>
            </w:r>
            <w:r>
              <w:rPr>
                <w:rFonts w:hint="eastAsia" w:ascii="宋体" w:hAnsi="宋体" w:eastAsia="宋体" w:cs="宋体"/>
                <w:color w:val="auto"/>
                <w:kern w:val="0"/>
                <w:sz w:val="21"/>
                <w:szCs w:val="21"/>
                <w:highlight w:val="none"/>
                <w:u w:val="single"/>
                <w:lang w:val="en-US" w:eastAsia="zh-CN"/>
              </w:rPr>
              <w:t>二</w:t>
            </w:r>
            <w:r>
              <w:rPr>
                <w:rFonts w:hint="eastAsia" w:ascii="宋体" w:hAnsi="宋体" w:eastAsia="宋体" w:cs="宋体"/>
                <w:color w:val="auto"/>
                <w:kern w:val="0"/>
                <w:sz w:val="21"/>
                <w:szCs w:val="21"/>
                <w:highlight w:val="none"/>
              </w:rPr>
              <w:t>份。</w:t>
            </w:r>
          </w:p>
        </w:tc>
      </w:tr>
      <w:tr w14:paraId="0B4B2DDA">
        <w:tblPrEx>
          <w:tblCellMar>
            <w:top w:w="0" w:type="dxa"/>
            <w:left w:w="0" w:type="dxa"/>
            <w:bottom w:w="0" w:type="dxa"/>
            <w:right w:w="0" w:type="dxa"/>
          </w:tblCellMar>
        </w:tblPrEx>
        <w:trPr>
          <w:trHeight w:val="435" w:hRule="atLeast"/>
        </w:trPr>
        <w:tc>
          <w:tcPr>
            <w:tcW w:w="1392" w:type="dxa"/>
            <w:tcBorders>
              <w:top w:val="single" w:color="auto" w:sz="8" w:space="0"/>
              <w:left w:val="single" w:color="auto" w:sz="8" w:space="0"/>
              <w:bottom w:val="single" w:color="auto" w:sz="8" w:space="0"/>
              <w:right w:val="single" w:color="auto" w:sz="8" w:space="0"/>
            </w:tcBorders>
            <w:vAlign w:val="center"/>
          </w:tcPr>
          <w:p w14:paraId="73D2D17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p>
        </w:tc>
        <w:tc>
          <w:tcPr>
            <w:tcW w:w="1400" w:type="dxa"/>
            <w:tcBorders>
              <w:top w:val="single" w:color="auto" w:sz="8" w:space="0"/>
              <w:left w:val="single" w:color="auto" w:sz="4" w:space="0"/>
              <w:bottom w:val="single" w:color="auto" w:sz="8" w:space="0"/>
              <w:right w:val="single" w:color="auto" w:sz="4" w:space="0"/>
            </w:tcBorders>
            <w:vAlign w:val="center"/>
          </w:tcPr>
          <w:p w14:paraId="137BDF64">
            <w:pPr>
              <w:pStyle w:val="28"/>
              <w:keepNext w:val="0"/>
              <w:keepLines w:val="0"/>
              <w:pageBreakBefore w:val="0"/>
              <w:kinsoku/>
              <w:wordWrap/>
              <w:overflowPunct/>
              <w:topLinePunct w:val="0"/>
              <w:autoSpaceDE/>
              <w:autoSpaceDN/>
              <w:bidi w:val="0"/>
              <w:adjustRightInd/>
              <w:snapToGrid/>
              <w:spacing w:line="370" w:lineRule="exact"/>
              <w:ind w:left="31680" w:hanging="1260" w:hangingChars="60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投标保证金</w:t>
            </w:r>
          </w:p>
        </w:tc>
        <w:tc>
          <w:tcPr>
            <w:tcW w:w="7333" w:type="dxa"/>
            <w:tcBorders>
              <w:top w:val="single" w:color="auto" w:sz="8" w:space="0"/>
              <w:left w:val="single" w:color="auto" w:sz="4" w:space="0"/>
              <w:bottom w:val="single" w:color="auto" w:sz="8" w:space="0"/>
              <w:right w:val="single" w:color="auto" w:sz="8" w:space="0"/>
            </w:tcBorders>
            <w:vAlign w:val="center"/>
          </w:tcPr>
          <w:p w14:paraId="7C1E3814">
            <w:pPr>
              <w:keepNext w:val="0"/>
              <w:keepLines w:val="0"/>
              <w:pageBreakBefore w:val="0"/>
              <w:widowControl/>
              <w:kinsoku/>
              <w:wordWrap/>
              <w:overflowPunct/>
              <w:topLinePunct w:val="0"/>
              <w:autoSpaceDE/>
              <w:autoSpaceDN/>
              <w:bidi w:val="0"/>
              <w:adjustRightInd/>
              <w:snapToGrid/>
              <w:spacing w:line="350" w:lineRule="exact"/>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投标保证金的金额：</w:t>
            </w:r>
            <w:r>
              <w:rPr>
                <w:rFonts w:hint="eastAsia" w:ascii="宋体" w:hAnsi="宋体" w:cs="宋体"/>
                <w:color w:val="auto"/>
                <w:szCs w:val="21"/>
                <w:highlight w:val="none"/>
                <w:u w:val="none"/>
                <w:lang w:val="en-US" w:eastAsia="zh-CN"/>
              </w:rPr>
              <w:t>0.4</w:t>
            </w:r>
            <w:r>
              <w:rPr>
                <w:rFonts w:hint="eastAsia" w:ascii="宋体" w:hAnsi="宋体" w:cs="宋体"/>
                <w:color w:val="auto"/>
                <w:szCs w:val="21"/>
                <w:highlight w:val="none"/>
                <w:u w:val="none"/>
              </w:rPr>
              <w:t>万元，应在投标文件递交截止时间前缴纳完毕。保证金须投标人基本账户转入下列账户，</w:t>
            </w:r>
          </w:p>
          <w:p w14:paraId="45D5AEA4">
            <w:pPr>
              <w:keepNext w:val="0"/>
              <w:keepLines w:val="0"/>
              <w:pageBreakBefore w:val="0"/>
              <w:widowControl/>
              <w:kinsoku/>
              <w:wordWrap/>
              <w:overflowPunct/>
              <w:topLinePunct w:val="0"/>
              <w:autoSpaceDE/>
              <w:autoSpaceDN/>
              <w:bidi w:val="0"/>
              <w:adjustRightInd/>
              <w:snapToGrid/>
              <w:spacing w:line="350" w:lineRule="exact"/>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保证金付款人的账户名称必须与投标人名称一致，不接受汇票和结算卡汇入。</w:t>
            </w:r>
          </w:p>
          <w:p w14:paraId="3577DA7F">
            <w:pPr>
              <w:keepNext w:val="0"/>
              <w:keepLines w:val="0"/>
              <w:pageBreakBefore w:val="0"/>
              <w:widowControl/>
              <w:kinsoku/>
              <w:wordWrap/>
              <w:overflowPunct/>
              <w:topLinePunct w:val="0"/>
              <w:autoSpaceDE/>
              <w:autoSpaceDN/>
              <w:bidi w:val="0"/>
              <w:adjustRightInd/>
              <w:snapToGrid/>
              <w:spacing w:line="350" w:lineRule="exact"/>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保证金的形式：银行转帐或银行保函（无条件保函）或商业保险或第三方担保方式。</w:t>
            </w:r>
          </w:p>
          <w:p w14:paraId="124B5213">
            <w:pPr>
              <w:keepNext w:val="0"/>
              <w:keepLines w:val="0"/>
              <w:pageBreakBefore w:val="0"/>
              <w:widowControl/>
              <w:kinsoku/>
              <w:wordWrap/>
              <w:overflowPunct/>
              <w:topLinePunct w:val="0"/>
              <w:autoSpaceDE/>
              <w:autoSpaceDN/>
              <w:bidi w:val="0"/>
              <w:adjustRightInd/>
              <w:snapToGrid/>
              <w:spacing w:line="350" w:lineRule="exact"/>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投标保证金以银行转账形式的，转账记录和开户行证明材料复印件需加盖公章后与投标文件同时递交。</w:t>
            </w:r>
          </w:p>
          <w:p w14:paraId="6724B0DD">
            <w:pPr>
              <w:keepNext w:val="0"/>
              <w:keepLines w:val="0"/>
              <w:pageBreakBefore w:val="0"/>
              <w:widowControl/>
              <w:kinsoku/>
              <w:wordWrap/>
              <w:overflowPunct/>
              <w:topLinePunct w:val="0"/>
              <w:autoSpaceDE/>
              <w:autoSpaceDN/>
              <w:bidi w:val="0"/>
              <w:adjustRightInd/>
              <w:snapToGrid/>
              <w:spacing w:line="350" w:lineRule="exact"/>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银行保函或商业保险或第三方担保材料，须与投标文件同时递交。</w:t>
            </w:r>
          </w:p>
          <w:p w14:paraId="2108E532">
            <w:pPr>
              <w:keepNext w:val="0"/>
              <w:keepLines w:val="0"/>
              <w:pageBreakBefore w:val="0"/>
              <w:widowControl/>
              <w:kinsoku/>
              <w:wordWrap/>
              <w:overflowPunct/>
              <w:topLinePunct w:val="0"/>
              <w:autoSpaceDE/>
              <w:autoSpaceDN/>
              <w:bidi w:val="0"/>
              <w:adjustRightInd/>
              <w:snapToGrid/>
              <w:spacing w:line="350" w:lineRule="exact"/>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单位名称 ：滁州市鑫鼎城市更新建设运营有限公司</w:t>
            </w:r>
          </w:p>
          <w:p w14:paraId="42F1F36C">
            <w:pPr>
              <w:keepNext w:val="0"/>
              <w:keepLines w:val="0"/>
              <w:pageBreakBefore w:val="0"/>
              <w:widowControl/>
              <w:kinsoku/>
              <w:wordWrap/>
              <w:overflowPunct/>
              <w:topLinePunct w:val="0"/>
              <w:autoSpaceDE/>
              <w:autoSpaceDN/>
              <w:bidi w:val="0"/>
              <w:adjustRightInd/>
              <w:snapToGrid/>
              <w:spacing w:line="350" w:lineRule="exact"/>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纳税人识别号：91341100MA2UABTK03</w:t>
            </w:r>
            <w:r>
              <w:rPr>
                <w:rFonts w:hint="eastAsia" w:ascii="宋体" w:hAnsi="宋体" w:cs="宋体"/>
                <w:color w:val="auto"/>
                <w:szCs w:val="21"/>
                <w:highlight w:val="none"/>
                <w:u w:val="none"/>
                <w:lang w:val="en-US" w:eastAsia="zh-CN"/>
              </w:rPr>
              <w:t xml:space="preserve"> </w:t>
            </w:r>
          </w:p>
          <w:p w14:paraId="5E270CF9">
            <w:pPr>
              <w:keepNext w:val="0"/>
              <w:keepLines w:val="0"/>
              <w:pageBreakBefore w:val="0"/>
              <w:widowControl/>
              <w:kinsoku/>
              <w:wordWrap/>
              <w:overflowPunct/>
              <w:topLinePunct w:val="0"/>
              <w:autoSpaceDE/>
              <w:autoSpaceDN/>
              <w:bidi w:val="0"/>
              <w:adjustRightInd/>
              <w:snapToGrid/>
              <w:spacing w:line="350" w:lineRule="exact"/>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地址：安徽省滁州市琅邪区凤凰东路476号投资大厦6楼</w:t>
            </w:r>
          </w:p>
          <w:p w14:paraId="302E8319">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rPr>
              <w:t>联系电话：0550-3801220</w:t>
            </w:r>
            <w:r>
              <w:rPr>
                <w:rFonts w:hint="eastAsia" w:ascii="宋体" w:hAnsi="宋体" w:cs="宋体"/>
                <w:color w:val="auto"/>
                <w:szCs w:val="21"/>
                <w:highlight w:val="none"/>
                <w:u w:val="none"/>
                <w:lang w:val="en-US" w:eastAsia="zh-CN"/>
              </w:rPr>
              <w:t xml:space="preserve"> </w:t>
            </w:r>
          </w:p>
          <w:p w14:paraId="0EB6E455">
            <w:pPr>
              <w:keepNext w:val="0"/>
              <w:keepLines w:val="0"/>
              <w:pageBreakBefore w:val="0"/>
              <w:widowControl/>
              <w:kinsoku/>
              <w:wordWrap/>
              <w:overflowPunct/>
              <w:topLinePunct w:val="0"/>
              <w:autoSpaceDE/>
              <w:autoSpaceDN/>
              <w:bidi w:val="0"/>
              <w:adjustRightInd/>
              <w:snapToGrid/>
              <w:spacing w:line="350" w:lineRule="exac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开户行：交通银行滁州分行营业部</w:t>
            </w:r>
          </w:p>
          <w:p w14:paraId="4D2AAB76">
            <w:pPr>
              <w:keepNext w:val="0"/>
              <w:keepLines w:val="0"/>
              <w:pageBreakBefore w:val="0"/>
              <w:widowControl/>
              <w:kinsoku/>
              <w:wordWrap/>
              <w:overflowPunct/>
              <w:topLinePunct w:val="0"/>
              <w:autoSpaceDE/>
              <w:autoSpaceDN/>
              <w:bidi w:val="0"/>
              <w:adjustRightInd/>
              <w:snapToGrid/>
              <w:spacing w:line="350" w:lineRule="exact"/>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 xml:space="preserve">账号：350220000013000010946  </w:t>
            </w:r>
          </w:p>
          <w:p w14:paraId="1852C8D2">
            <w:pPr>
              <w:pStyle w:val="28"/>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u w:val="none"/>
                <w:lang w:val="en-US" w:eastAsia="zh-CN" w:bidi="ar-SA"/>
              </w:rPr>
              <w:t>保证金到账截止时间同投标文件递交截止时间，交纳保证金时须在交易附言中注明：“亭城玺悦里项目沙盘、品牌墙制作采购”投标保证金</w:t>
            </w:r>
          </w:p>
        </w:tc>
      </w:tr>
      <w:tr w14:paraId="7C737EAA">
        <w:tblPrEx>
          <w:tblCellMar>
            <w:top w:w="0" w:type="dxa"/>
            <w:left w:w="0" w:type="dxa"/>
            <w:bottom w:w="0" w:type="dxa"/>
            <w:right w:w="0" w:type="dxa"/>
          </w:tblCellMar>
        </w:tblPrEx>
        <w:trPr>
          <w:trHeight w:val="462" w:hRule="atLeast"/>
        </w:trPr>
        <w:tc>
          <w:tcPr>
            <w:tcW w:w="1392" w:type="dxa"/>
            <w:tcBorders>
              <w:top w:val="single" w:color="auto" w:sz="8" w:space="0"/>
              <w:left w:val="single" w:color="auto" w:sz="8" w:space="0"/>
              <w:bottom w:val="single" w:color="auto" w:sz="8" w:space="0"/>
              <w:right w:val="single" w:color="auto" w:sz="8" w:space="0"/>
            </w:tcBorders>
            <w:vAlign w:val="center"/>
          </w:tcPr>
          <w:p w14:paraId="79440ED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9</w:t>
            </w:r>
          </w:p>
        </w:tc>
        <w:tc>
          <w:tcPr>
            <w:tcW w:w="1400" w:type="dxa"/>
            <w:tcBorders>
              <w:top w:val="single" w:color="auto" w:sz="8" w:space="0"/>
              <w:left w:val="single" w:color="auto" w:sz="4" w:space="0"/>
              <w:bottom w:val="single" w:color="auto" w:sz="8" w:space="0"/>
              <w:right w:val="single" w:color="auto" w:sz="4" w:space="0"/>
            </w:tcBorders>
            <w:vAlign w:val="center"/>
          </w:tcPr>
          <w:p w14:paraId="6139AA19">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最高限价</w:t>
            </w:r>
          </w:p>
        </w:tc>
        <w:tc>
          <w:tcPr>
            <w:tcW w:w="7333" w:type="dxa"/>
            <w:tcBorders>
              <w:top w:val="single" w:color="auto" w:sz="8" w:space="0"/>
              <w:left w:val="single" w:color="auto" w:sz="4" w:space="0"/>
              <w:bottom w:val="single" w:color="auto" w:sz="8" w:space="0"/>
              <w:right w:val="single" w:color="auto" w:sz="8" w:space="0"/>
            </w:tcBorders>
            <w:vAlign w:val="center"/>
          </w:tcPr>
          <w:p w14:paraId="5ADD7C66">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本项目</w:t>
            </w:r>
            <w:r>
              <w:rPr>
                <w:rFonts w:hint="eastAsia" w:ascii="宋体" w:hAnsi="宋体" w:cs="宋体"/>
                <w:b/>
                <w:bCs/>
                <w:color w:val="auto"/>
                <w:sz w:val="21"/>
                <w:szCs w:val="21"/>
                <w:highlight w:val="none"/>
                <w:lang w:val="en-US" w:eastAsia="zh-CN"/>
              </w:rPr>
              <w:t>总价</w:t>
            </w:r>
            <w:r>
              <w:rPr>
                <w:rFonts w:hint="eastAsia" w:ascii="宋体" w:hAnsi="宋体" w:eastAsia="宋体" w:cs="宋体"/>
                <w:b/>
                <w:bCs/>
                <w:color w:val="auto"/>
                <w:sz w:val="21"/>
                <w:szCs w:val="21"/>
                <w:highlight w:val="none"/>
                <w:lang w:val="en-US" w:eastAsia="zh-CN"/>
              </w:rPr>
              <w:t>最高限价</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24.35万元，其中：临展沙盘为2.33万元；营销中心子母沙盘为16.24万元；品牌墙为5.78万元，分项单价最高限价详见采购清单。投标单位投标报价均不得高于上述最高限价，否则按无效标处理。</w:t>
            </w:r>
          </w:p>
        </w:tc>
      </w:tr>
      <w:tr w14:paraId="088D71C9">
        <w:tblPrEx>
          <w:tblCellMar>
            <w:top w:w="0" w:type="dxa"/>
            <w:left w:w="0" w:type="dxa"/>
            <w:bottom w:w="0" w:type="dxa"/>
            <w:right w:w="0" w:type="dxa"/>
          </w:tblCellMar>
        </w:tblPrEx>
        <w:trPr>
          <w:trHeight w:val="1089" w:hRule="atLeast"/>
        </w:trPr>
        <w:tc>
          <w:tcPr>
            <w:tcW w:w="1392" w:type="dxa"/>
            <w:tcBorders>
              <w:top w:val="single" w:color="auto" w:sz="8" w:space="0"/>
              <w:left w:val="single" w:color="auto" w:sz="8" w:space="0"/>
              <w:bottom w:val="single" w:color="auto" w:sz="8" w:space="0"/>
              <w:right w:val="single" w:color="auto" w:sz="8" w:space="0"/>
            </w:tcBorders>
            <w:vAlign w:val="center"/>
          </w:tcPr>
          <w:p w14:paraId="461E8D0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1400" w:type="dxa"/>
            <w:tcBorders>
              <w:top w:val="single" w:color="auto" w:sz="8" w:space="0"/>
              <w:left w:val="single" w:color="auto" w:sz="4" w:space="0"/>
              <w:bottom w:val="single" w:color="auto" w:sz="8" w:space="0"/>
              <w:right w:val="single" w:color="auto" w:sz="4" w:space="0"/>
            </w:tcBorders>
            <w:vAlign w:val="center"/>
          </w:tcPr>
          <w:p w14:paraId="4B18CE00">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投标文件提交截止时间及地点</w:t>
            </w:r>
          </w:p>
        </w:tc>
        <w:tc>
          <w:tcPr>
            <w:tcW w:w="7333" w:type="dxa"/>
            <w:tcBorders>
              <w:top w:val="single" w:color="auto" w:sz="8" w:space="0"/>
              <w:left w:val="single" w:color="auto" w:sz="4" w:space="0"/>
              <w:bottom w:val="single" w:color="auto" w:sz="8" w:space="0"/>
              <w:right w:val="single" w:color="auto" w:sz="8" w:space="0"/>
            </w:tcBorders>
            <w:vAlign w:val="center"/>
          </w:tcPr>
          <w:p w14:paraId="585165CA">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收件人：滁州市城投工程咨询管理有限公司</w:t>
            </w:r>
          </w:p>
          <w:p w14:paraId="75C39705">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 xml:space="preserve"> </w:t>
            </w:r>
          </w:p>
          <w:p w14:paraId="56BD4698">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cs="宋体"/>
                <w:b/>
                <w:bCs/>
                <w:color w:val="auto"/>
                <w:szCs w:val="21"/>
                <w:highlight w:val="none"/>
                <w:lang w:eastAsia="zh-CN"/>
              </w:rPr>
              <w:t>滁州市龙蟠大道109号房产商务大厦6楼622会议室</w:t>
            </w:r>
            <w:r>
              <w:rPr>
                <w:rFonts w:hint="eastAsia" w:ascii="宋体" w:hAnsi="宋体" w:cs="宋体"/>
                <w:b/>
                <w:bCs/>
                <w:color w:val="auto"/>
                <w:szCs w:val="21"/>
                <w:highlight w:val="none"/>
              </w:rPr>
              <w:t xml:space="preserve">   </w:t>
            </w:r>
          </w:p>
        </w:tc>
      </w:tr>
      <w:tr w14:paraId="206FC4B2">
        <w:tblPrEx>
          <w:tblCellMar>
            <w:top w:w="0" w:type="dxa"/>
            <w:left w:w="0" w:type="dxa"/>
            <w:bottom w:w="0" w:type="dxa"/>
            <w:right w:w="0" w:type="dxa"/>
          </w:tblCellMar>
        </w:tblPrEx>
        <w:trPr>
          <w:trHeight w:val="786" w:hRule="atLeast"/>
        </w:trPr>
        <w:tc>
          <w:tcPr>
            <w:tcW w:w="1392" w:type="dxa"/>
            <w:tcBorders>
              <w:top w:val="single" w:color="auto" w:sz="8" w:space="0"/>
              <w:left w:val="single" w:color="auto" w:sz="8" w:space="0"/>
              <w:bottom w:val="single" w:color="auto" w:sz="8" w:space="0"/>
              <w:right w:val="single" w:color="auto" w:sz="8" w:space="0"/>
            </w:tcBorders>
            <w:vAlign w:val="center"/>
          </w:tcPr>
          <w:p w14:paraId="5E35A70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p>
        </w:tc>
        <w:tc>
          <w:tcPr>
            <w:tcW w:w="1400" w:type="dxa"/>
            <w:tcBorders>
              <w:top w:val="single" w:color="auto" w:sz="8" w:space="0"/>
              <w:left w:val="single" w:color="auto" w:sz="4" w:space="0"/>
              <w:bottom w:val="single" w:color="auto" w:sz="8" w:space="0"/>
              <w:right w:val="single" w:color="auto" w:sz="4" w:space="0"/>
            </w:tcBorders>
            <w:vAlign w:val="center"/>
          </w:tcPr>
          <w:p w14:paraId="73E46064">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w:t>
            </w:r>
          </w:p>
        </w:tc>
        <w:tc>
          <w:tcPr>
            <w:tcW w:w="7333" w:type="dxa"/>
            <w:tcBorders>
              <w:top w:val="single" w:color="auto" w:sz="8" w:space="0"/>
              <w:left w:val="single" w:color="auto" w:sz="4" w:space="0"/>
              <w:bottom w:val="single" w:color="auto" w:sz="8" w:space="0"/>
              <w:right w:val="single" w:color="auto" w:sz="8" w:space="0"/>
            </w:tcBorders>
            <w:vAlign w:val="center"/>
          </w:tcPr>
          <w:p w14:paraId="31818F4F">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开标时间：</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 xml:space="preserve"> </w:t>
            </w:r>
          </w:p>
          <w:p w14:paraId="6933F141">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开标地点</w:t>
            </w:r>
            <w:r>
              <w:rPr>
                <w:rFonts w:hint="eastAsia" w:ascii="宋体" w:hAnsi="宋体" w:eastAsia="宋体" w:cs="宋体"/>
                <w:color w:val="auto"/>
                <w:kern w:val="0"/>
                <w:sz w:val="21"/>
                <w:szCs w:val="21"/>
                <w:highlight w:val="none"/>
                <w:lang w:eastAsia="zh-CN"/>
              </w:rPr>
              <w:t>：</w:t>
            </w:r>
            <w:r>
              <w:rPr>
                <w:rFonts w:hint="eastAsia" w:ascii="宋体" w:hAnsi="宋体" w:cs="宋体"/>
                <w:b/>
                <w:bCs/>
                <w:color w:val="auto"/>
                <w:szCs w:val="21"/>
                <w:highlight w:val="none"/>
                <w:lang w:eastAsia="zh-CN"/>
              </w:rPr>
              <w:t>滁州市龙蟠大道109号房产商务大厦6楼622会议室</w:t>
            </w:r>
            <w:r>
              <w:rPr>
                <w:rFonts w:hint="eastAsia" w:ascii="宋体" w:hAnsi="宋体" w:cs="宋体"/>
                <w:b/>
                <w:bCs/>
                <w:color w:val="auto"/>
                <w:szCs w:val="21"/>
                <w:highlight w:val="none"/>
              </w:rPr>
              <w:t xml:space="preserve">   </w:t>
            </w:r>
          </w:p>
        </w:tc>
      </w:tr>
      <w:tr w14:paraId="3C846204">
        <w:tblPrEx>
          <w:tblCellMar>
            <w:top w:w="0" w:type="dxa"/>
            <w:left w:w="0" w:type="dxa"/>
            <w:bottom w:w="0" w:type="dxa"/>
            <w:right w:w="0" w:type="dxa"/>
          </w:tblCellMar>
        </w:tblPrEx>
        <w:trPr>
          <w:trHeight w:val="316" w:hRule="atLeast"/>
        </w:trPr>
        <w:tc>
          <w:tcPr>
            <w:tcW w:w="1392" w:type="dxa"/>
            <w:tcBorders>
              <w:top w:val="single" w:color="auto" w:sz="8" w:space="0"/>
              <w:left w:val="single" w:color="auto" w:sz="8" w:space="0"/>
              <w:bottom w:val="single" w:color="auto" w:sz="8" w:space="0"/>
              <w:right w:val="single" w:color="auto" w:sz="8" w:space="0"/>
            </w:tcBorders>
            <w:vAlign w:val="center"/>
          </w:tcPr>
          <w:p w14:paraId="6FBCD25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1400" w:type="dxa"/>
            <w:tcBorders>
              <w:top w:val="single" w:color="auto" w:sz="8" w:space="0"/>
              <w:left w:val="single" w:color="auto" w:sz="4" w:space="0"/>
              <w:bottom w:val="single" w:color="auto" w:sz="8" w:space="0"/>
              <w:right w:val="single" w:color="auto" w:sz="4" w:space="0"/>
            </w:tcBorders>
            <w:vAlign w:val="center"/>
          </w:tcPr>
          <w:p w14:paraId="07747E8E">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代理费及</w:t>
            </w:r>
            <w:r>
              <w:rPr>
                <w:rFonts w:hint="eastAsia" w:ascii="宋体" w:hAnsi="宋体" w:eastAsia="宋体" w:cs="宋体"/>
                <w:color w:val="auto"/>
                <w:kern w:val="0"/>
                <w:sz w:val="21"/>
                <w:szCs w:val="21"/>
                <w:highlight w:val="none"/>
                <w:lang w:val="en-US" w:eastAsia="zh-CN"/>
              </w:rPr>
              <w:t>专家评审费</w:t>
            </w:r>
          </w:p>
        </w:tc>
        <w:tc>
          <w:tcPr>
            <w:tcW w:w="7333" w:type="dxa"/>
            <w:tcBorders>
              <w:top w:val="single" w:color="auto" w:sz="8" w:space="0"/>
              <w:left w:val="single" w:color="auto" w:sz="4" w:space="0"/>
              <w:bottom w:val="single" w:color="auto" w:sz="8" w:space="0"/>
              <w:right w:val="single" w:color="auto" w:sz="8" w:space="0"/>
            </w:tcBorders>
            <w:vAlign w:val="center"/>
          </w:tcPr>
          <w:p w14:paraId="2ADA9FDF">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代理费：1095元；</w:t>
            </w:r>
            <w:r>
              <w:rPr>
                <w:rFonts w:hint="eastAsia" w:ascii="宋体" w:hAnsi="宋体" w:eastAsia="宋体" w:cs="宋体"/>
                <w:color w:val="auto"/>
                <w:kern w:val="0"/>
                <w:sz w:val="21"/>
                <w:szCs w:val="21"/>
                <w:highlight w:val="none"/>
              </w:rPr>
              <w:t>专家评审费具体以实际发生费用为准；</w:t>
            </w:r>
          </w:p>
          <w:p w14:paraId="03F97162">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代理费及</w:t>
            </w:r>
            <w:r>
              <w:rPr>
                <w:rFonts w:hint="eastAsia" w:ascii="宋体" w:hAnsi="宋体" w:eastAsia="宋体" w:cs="宋体"/>
                <w:color w:val="auto"/>
                <w:kern w:val="0"/>
                <w:sz w:val="21"/>
                <w:szCs w:val="21"/>
                <w:highlight w:val="none"/>
              </w:rPr>
              <w:t>专家费支付主体：中标单位在领取中标通知书前一次性支付给代理公司，含在投标报价让利中。</w:t>
            </w:r>
          </w:p>
        </w:tc>
      </w:tr>
      <w:tr w14:paraId="5FE94873">
        <w:tblPrEx>
          <w:tblCellMar>
            <w:top w:w="0" w:type="dxa"/>
            <w:left w:w="0" w:type="dxa"/>
            <w:bottom w:w="0" w:type="dxa"/>
            <w:right w:w="0" w:type="dxa"/>
          </w:tblCellMar>
        </w:tblPrEx>
        <w:trPr>
          <w:trHeight w:val="786" w:hRule="atLeast"/>
        </w:trPr>
        <w:tc>
          <w:tcPr>
            <w:tcW w:w="1392" w:type="dxa"/>
            <w:tcBorders>
              <w:top w:val="single" w:color="auto" w:sz="8" w:space="0"/>
              <w:left w:val="single" w:color="auto" w:sz="8" w:space="0"/>
              <w:bottom w:val="single" w:color="auto" w:sz="8" w:space="0"/>
              <w:right w:val="single" w:color="auto" w:sz="8" w:space="0"/>
            </w:tcBorders>
            <w:vAlign w:val="center"/>
          </w:tcPr>
          <w:p w14:paraId="6E1C4ED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0"/>
                <w:sz w:val="21"/>
                <w:szCs w:val="21"/>
                <w:highlight w:val="none"/>
                <w:lang w:val="en-US" w:eastAsia="zh-CN"/>
              </w:rPr>
            </w:pPr>
            <w:bookmarkStart w:id="1" w:name="_Toc25340"/>
            <w:r>
              <w:rPr>
                <w:rFonts w:hint="eastAsia" w:ascii="宋体" w:hAnsi="宋体" w:cs="宋体"/>
                <w:color w:val="auto"/>
                <w:kern w:val="0"/>
                <w:sz w:val="21"/>
                <w:szCs w:val="21"/>
                <w:highlight w:val="none"/>
                <w:lang w:val="en-US" w:eastAsia="zh-CN"/>
              </w:rPr>
              <w:t>13</w:t>
            </w:r>
          </w:p>
        </w:tc>
        <w:tc>
          <w:tcPr>
            <w:tcW w:w="1400" w:type="dxa"/>
            <w:tcBorders>
              <w:top w:val="single" w:color="auto" w:sz="8" w:space="0"/>
              <w:left w:val="single" w:color="auto" w:sz="4" w:space="0"/>
              <w:bottom w:val="single" w:color="auto" w:sz="8" w:space="0"/>
              <w:right w:val="single" w:color="auto" w:sz="4" w:space="0"/>
            </w:tcBorders>
            <w:vAlign w:val="center"/>
          </w:tcPr>
          <w:p w14:paraId="742B540D">
            <w:pPr>
              <w:keepNext w:val="0"/>
              <w:keepLines w:val="0"/>
              <w:pageBreakBefore w:val="0"/>
              <w:kinsoku/>
              <w:wordWrap/>
              <w:overflowPunct/>
              <w:topLinePunct w:val="0"/>
              <w:autoSpaceDE/>
              <w:autoSpaceDN/>
              <w:bidi w:val="0"/>
              <w:adjustRightInd/>
              <w:snapToGrid/>
              <w:spacing w:line="37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付款方式</w:t>
            </w:r>
          </w:p>
        </w:tc>
        <w:tc>
          <w:tcPr>
            <w:tcW w:w="7333" w:type="dxa"/>
            <w:tcBorders>
              <w:top w:val="single" w:color="auto" w:sz="8" w:space="0"/>
              <w:left w:val="single" w:color="auto" w:sz="4" w:space="0"/>
              <w:bottom w:val="single" w:color="auto" w:sz="8" w:space="0"/>
              <w:right w:val="single" w:color="auto" w:sz="8" w:space="0"/>
            </w:tcBorders>
            <w:vAlign w:val="center"/>
          </w:tcPr>
          <w:p w14:paraId="3D970137">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（一）本次无预付款，沙盘及所有标牌安装完成且经招标人验收合格后，供货商提供全部结算请款资料及验收报告后付款。</w:t>
            </w:r>
          </w:p>
          <w:p w14:paraId="39373147">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（二）中标单位需提供增值税专用发票。</w:t>
            </w:r>
          </w:p>
        </w:tc>
      </w:tr>
      <w:tr w14:paraId="70BE59B8">
        <w:tblPrEx>
          <w:tblCellMar>
            <w:top w:w="0" w:type="dxa"/>
            <w:left w:w="0" w:type="dxa"/>
            <w:bottom w:w="0" w:type="dxa"/>
            <w:right w:w="0" w:type="dxa"/>
          </w:tblCellMar>
        </w:tblPrEx>
        <w:trPr>
          <w:trHeight w:val="786" w:hRule="atLeast"/>
        </w:trPr>
        <w:tc>
          <w:tcPr>
            <w:tcW w:w="1392" w:type="dxa"/>
            <w:tcBorders>
              <w:top w:val="single" w:color="auto" w:sz="8" w:space="0"/>
              <w:left w:val="single" w:color="auto" w:sz="8" w:space="0"/>
              <w:bottom w:val="single" w:color="auto" w:sz="8" w:space="0"/>
              <w:right w:val="single" w:color="auto" w:sz="8" w:space="0"/>
            </w:tcBorders>
            <w:vAlign w:val="center"/>
          </w:tcPr>
          <w:p w14:paraId="22763BD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1400" w:type="dxa"/>
            <w:tcBorders>
              <w:top w:val="single" w:color="auto" w:sz="8" w:space="0"/>
              <w:left w:val="single" w:color="auto" w:sz="4" w:space="0"/>
              <w:bottom w:val="single" w:color="auto" w:sz="8" w:space="0"/>
              <w:right w:val="single" w:color="auto" w:sz="4" w:space="0"/>
            </w:tcBorders>
            <w:vAlign w:val="center"/>
          </w:tcPr>
          <w:p w14:paraId="4190C6C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履约保证金</w:t>
            </w:r>
          </w:p>
        </w:tc>
        <w:tc>
          <w:tcPr>
            <w:tcW w:w="7333" w:type="dxa"/>
            <w:tcBorders>
              <w:top w:val="single" w:color="auto" w:sz="8" w:space="0"/>
              <w:left w:val="single" w:color="auto" w:sz="4" w:space="0"/>
              <w:bottom w:val="single" w:color="auto" w:sz="8" w:space="0"/>
              <w:right w:val="single" w:color="auto" w:sz="8" w:space="0"/>
            </w:tcBorders>
            <w:vAlign w:val="center"/>
          </w:tcPr>
          <w:p w14:paraId="53C0829B">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是否收取履约担保：收取</w:t>
            </w:r>
          </w:p>
          <w:p w14:paraId="023D2022">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形式：支持银行转账、银行保函（见索即付无条件保函）、担保保函、商业保险、第三方担保（无条件担保）使用</w:t>
            </w:r>
          </w:p>
          <w:p w14:paraId="30AA0EC4">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额：中标合同金额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总价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×2% </w:t>
            </w:r>
          </w:p>
          <w:p w14:paraId="0A69C951">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u w:val="none"/>
                <w:lang w:val="en-US" w:eastAsia="zh-CN"/>
              </w:rPr>
            </w:pPr>
            <w:r>
              <w:rPr>
                <w:rFonts w:hint="eastAsia" w:ascii="宋体" w:hAnsi="宋体" w:eastAsia="宋体" w:cs="宋体"/>
                <w:color w:val="auto"/>
                <w:sz w:val="21"/>
                <w:szCs w:val="21"/>
                <w:highlight w:val="none"/>
              </w:rPr>
              <w:t>收款单位：</w:t>
            </w:r>
            <w:r>
              <w:rPr>
                <w:rFonts w:hint="eastAsia" w:ascii="宋体" w:hAnsi="宋体" w:cs="宋体"/>
                <w:color w:val="auto"/>
                <w:szCs w:val="21"/>
                <w:highlight w:val="none"/>
                <w:u w:val="none"/>
              </w:rPr>
              <w:t>单位名称 ：滁州市鑫鼎城市更新建设运营有限公司</w:t>
            </w:r>
            <w:r>
              <w:rPr>
                <w:rFonts w:hint="eastAsia" w:ascii="宋体" w:hAnsi="宋体" w:cs="宋体"/>
                <w:color w:val="auto"/>
                <w:szCs w:val="21"/>
                <w:highlight w:val="none"/>
                <w:u w:val="none"/>
                <w:lang w:val="en-US" w:eastAsia="zh-CN"/>
              </w:rPr>
              <w:t xml:space="preserve"> </w:t>
            </w:r>
          </w:p>
          <w:p w14:paraId="0039A318">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纳税人识别号：1341100MA2UABTK03</w:t>
            </w:r>
            <w:r>
              <w:rPr>
                <w:rFonts w:hint="eastAsia" w:ascii="宋体" w:hAnsi="宋体" w:cs="宋体"/>
                <w:color w:val="auto"/>
                <w:szCs w:val="21"/>
                <w:highlight w:val="none"/>
                <w:u w:val="none"/>
                <w:lang w:val="en-US" w:eastAsia="zh-CN"/>
              </w:rPr>
              <w:t xml:space="preserve">  </w:t>
            </w:r>
          </w:p>
          <w:p w14:paraId="1FAD39B9">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地址：安徽省滁州市琅邪区凤凰东路476号投资大厦6楼</w:t>
            </w:r>
          </w:p>
          <w:p w14:paraId="3DA79E4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rPr>
              <w:t>联系电话：0550-3801220</w:t>
            </w:r>
            <w:r>
              <w:rPr>
                <w:rFonts w:hint="eastAsia" w:ascii="宋体" w:hAnsi="宋体" w:cs="宋体"/>
                <w:color w:val="auto"/>
                <w:szCs w:val="21"/>
                <w:highlight w:val="none"/>
                <w:u w:val="none"/>
                <w:lang w:val="en-US" w:eastAsia="zh-CN"/>
              </w:rPr>
              <w:t xml:space="preserve"> </w:t>
            </w:r>
          </w:p>
          <w:p w14:paraId="1503B0D8">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开户行：交通银行滁州分行营业部</w:t>
            </w:r>
          </w:p>
          <w:p w14:paraId="7DAD95A8">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 xml:space="preserve">账号：350220000013000010946 </w:t>
            </w:r>
          </w:p>
          <w:p w14:paraId="35FBAB44">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缴纳时限：</w:t>
            </w:r>
            <w:r>
              <w:rPr>
                <w:rFonts w:hint="eastAsia" w:ascii="宋体" w:hAnsi="宋体" w:eastAsia="宋体" w:cs="宋体"/>
                <w:color w:val="auto"/>
                <w:sz w:val="21"/>
                <w:szCs w:val="21"/>
                <w:highlight w:val="none"/>
                <w:lang w:val="en-US" w:eastAsia="zh-CN"/>
              </w:rPr>
              <w:t>签订合同</w:t>
            </w:r>
            <w:r>
              <w:rPr>
                <w:rFonts w:hint="eastAsia" w:ascii="宋体" w:hAnsi="宋体" w:cs="宋体"/>
                <w:color w:val="auto"/>
                <w:sz w:val="21"/>
                <w:szCs w:val="21"/>
                <w:highlight w:val="none"/>
                <w:lang w:val="en-US" w:eastAsia="zh-CN"/>
              </w:rPr>
              <w:t>前</w:t>
            </w:r>
          </w:p>
          <w:p w14:paraId="07A02176">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履约保证金退还时限：履约保证金有效期满7日内。</w:t>
            </w:r>
          </w:p>
          <w:p w14:paraId="44C8E484">
            <w:pPr>
              <w:pStyle w:val="2"/>
              <w:keepNext w:val="0"/>
              <w:keepLines w:val="0"/>
              <w:pageBreakBefore w:val="0"/>
              <w:kinsoku/>
              <w:wordWrap/>
              <w:overflowPunct/>
              <w:topLinePunct w:val="0"/>
              <w:autoSpaceDE/>
              <w:autoSpaceDN/>
              <w:bidi w:val="0"/>
              <w:adjustRightInd w:val="0"/>
              <w:snapToGrid w:val="0"/>
              <w:spacing w:after="0" w:afterLines="0" w:line="380" w:lineRule="exact"/>
              <w:ind w:left="0" w:leftChars="0" w:firstLine="0" w:firstLineChars="0"/>
              <w:jc w:val="left"/>
              <w:textAlignment w:val="auto"/>
              <w:rPr>
                <w:rFonts w:hint="eastAsia" w:ascii="宋体" w:hAnsi="宋体" w:eastAsia="宋体" w:cs="宋体"/>
                <w:color w:val="auto"/>
                <w:position w:val="6"/>
                <w:sz w:val="21"/>
                <w:szCs w:val="21"/>
                <w:highlight w:val="none"/>
                <w:u w:val="none"/>
              </w:rPr>
            </w:pPr>
            <w:r>
              <w:rPr>
                <w:rFonts w:hint="eastAsia" w:ascii="宋体" w:hAnsi="宋体" w:eastAsia="宋体" w:cs="宋体"/>
                <w:color w:val="auto"/>
                <w:position w:val="6"/>
                <w:sz w:val="21"/>
                <w:szCs w:val="21"/>
                <w:highlight w:val="none"/>
                <w:u w:val="none"/>
              </w:rPr>
              <w:t>其他相关要求：</w:t>
            </w:r>
          </w:p>
          <w:p w14:paraId="50D7540F">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采用银行保函的具体要求:</w:t>
            </w:r>
          </w:p>
          <w:p w14:paraId="72ABFF47">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①保函</w:t>
            </w:r>
            <w:r>
              <w:rPr>
                <w:rFonts w:hint="eastAsia" w:ascii="宋体" w:hAnsi="宋体" w:eastAsia="宋体" w:cs="宋体"/>
                <w:color w:val="auto"/>
                <w:sz w:val="21"/>
                <w:szCs w:val="21"/>
                <w:highlight w:val="none"/>
                <w:lang w:val="en-US" w:eastAsia="zh-CN"/>
              </w:rPr>
              <w:t>应为不可撤销、不可转让的见索即付型保函（</w:t>
            </w:r>
            <w:r>
              <w:rPr>
                <w:rFonts w:hint="eastAsia" w:ascii="宋体" w:hAnsi="宋体" w:eastAsia="宋体" w:cs="宋体"/>
                <w:color w:val="auto"/>
                <w:sz w:val="21"/>
                <w:szCs w:val="21"/>
                <w:highlight w:val="none"/>
              </w:rPr>
              <w:t>无条件保函）；</w:t>
            </w:r>
          </w:p>
          <w:p w14:paraId="5B35F1C0">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②须从中标人基本账户办理；</w:t>
            </w:r>
          </w:p>
          <w:p w14:paraId="28F98CD8">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③须有保函编号；</w:t>
            </w:r>
          </w:p>
          <w:p w14:paraId="4A7364E9">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④须加盖银行公章而非银行业务专用章</w:t>
            </w:r>
          </w:p>
          <w:p w14:paraId="2B2D326B">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⑤须经招标人认可。</w:t>
            </w:r>
          </w:p>
          <w:p w14:paraId="150E189D">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采用担保保函的具体要求：</w:t>
            </w:r>
            <w:r>
              <w:rPr>
                <w:rFonts w:hint="eastAsia" w:ascii="宋体" w:hAnsi="宋体" w:eastAsia="宋体" w:cs="宋体"/>
                <w:color w:val="auto"/>
                <w:sz w:val="21"/>
                <w:szCs w:val="21"/>
                <w:highlight w:val="none"/>
                <w:lang w:val="en-US" w:eastAsia="zh-CN"/>
              </w:rPr>
              <w:t>须经招标人认可</w:t>
            </w:r>
          </w:p>
          <w:p w14:paraId="41EFA3A0">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采用商业保险的具体要求：</w:t>
            </w:r>
            <w:r>
              <w:rPr>
                <w:rFonts w:hint="eastAsia" w:ascii="宋体" w:hAnsi="宋体" w:eastAsia="宋体" w:cs="宋体"/>
                <w:color w:val="auto"/>
                <w:sz w:val="21"/>
                <w:szCs w:val="21"/>
                <w:highlight w:val="none"/>
                <w:lang w:val="en-US" w:eastAsia="zh-CN"/>
              </w:rPr>
              <w:t>须经招标人认可</w:t>
            </w:r>
          </w:p>
          <w:p w14:paraId="77954244">
            <w:pPr>
              <w:pStyle w:val="2"/>
              <w:keepNext w:val="0"/>
              <w:keepLines w:val="0"/>
              <w:pageBreakBefore w:val="0"/>
              <w:numPr>
                <w:ilvl w:val="0"/>
                <w:numId w:val="0"/>
              </w:numPr>
              <w:kinsoku/>
              <w:wordWrap/>
              <w:overflowPunct/>
              <w:topLinePunct w:val="0"/>
              <w:autoSpaceDE/>
              <w:autoSpaceDN/>
              <w:bidi w:val="0"/>
              <w:adjustRightInd w:val="0"/>
              <w:snapToGrid w:val="0"/>
              <w:spacing w:after="0" w:afterLines="0" w:line="380" w:lineRule="exact"/>
              <w:ind w:leftChars="0"/>
              <w:jc w:val="left"/>
              <w:textAlignment w:val="auto"/>
              <w:rPr>
                <w:rFonts w:hint="eastAsia" w:ascii="宋体" w:hAnsi="宋体" w:eastAsia="宋体" w:cs="宋体"/>
                <w:color w:val="auto"/>
                <w:position w:val="6"/>
                <w:sz w:val="21"/>
                <w:szCs w:val="21"/>
                <w:highlight w:val="none"/>
                <w:u w:val="none"/>
              </w:rPr>
            </w:pPr>
            <w:r>
              <w:rPr>
                <w:rFonts w:hint="eastAsia" w:ascii="宋体" w:hAnsi="宋体" w:eastAsia="宋体" w:cs="宋体"/>
                <w:color w:val="auto"/>
                <w:position w:val="6"/>
                <w:sz w:val="21"/>
                <w:szCs w:val="21"/>
                <w:highlight w:val="none"/>
                <w:u w:val="none"/>
                <w:lang w:val="en-US" w:eastAsia="zh-CN"/>
              </w:rPr>
              <w:t>4、</w:t>
            </w:r>
            <w:r>
              <w:rPr>
                <w:rFonts w:hint="eastAsia" w:ascii="宋体" w:hAnsi="宋体" w:eastAsia="宋体" w:cs="宋体"/>
                <w:color w:val="auto"/>
                <w:position w:val="6"/>
                <w:sz w:val="21"/>
                <w:szCs w:val="21"/>
                <w:highlight w:val="none"/>
                <w:u w:val="none"/>
              </w:rPr>
              <w:t>采用第三方担保的具体要求：须经招标人认可</w:t>
            </w:r>
          </w:p>
          <w:p w14:paraId="587093E2">
            <w:pPr>
              <w:keepNext w:val="0"/>
              <w:keepLines w:val="0"/>
              <w:pageBreakBefore w:val="0"/>
              <w:kinsoku/>
              <w:wordWrap/>
              <w:overflowPunct/>
              <w:topLinePunct w:val="0"/>
              <w:autoSpaceDE/>
              <w:autoSpaceDN/>
              <w:bidi w:val="0"/>
              <w:adjustRightInd/>
              <w:snapToGrid/>
              <w:spacing w:line="380" w:lineRule="exac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position w:val="6"/>
                <w:sz w:val="21"/>
                <w:szCs w:val="21"/>
                <w:highlight w:val="none"/>
                <w:u w:val="none"/>
                <w:lang w:val="en-US" w:eastAsia="zh-CN"/>
              </w:rPr>
              <w:t>5、</w:t>
            </w:r>
            <w:r>
              <w:rPr>
                <w:rFonts w:hint="eastAsia" w:ascii="宋体" w:hAnsi="宋体" w:eastAsia="宋体" w:cs="宋体"/>
                <w:color w:val="auto"/>
                <w:position w:val="6"/>
                <w:sz w:val="21"/>
                <w:szCs w:val="21"/>
                <w:highlight w:val="none"/>
                <w:u w:val="none"/>
              </w:rPr>
              <w:t>联合体参加投标且中标的，以联合体牵头人的名义按上述要求缴纳履约担保。</w:t>
            </w:r>
          </w:p>
        </w:tc>
      </w:tr>
      <w:tr w14:paraId="3F0634E2">
        <w:tblPrEx>
          <w:tblCellMar>
            <w:top w:w="0" w:type="dxa"/>
            <w:left w:w="0" w:type="dxa"/>
            <w:bottom w:w="0" w:type="dxa"/>
            <w:right w:w="0" w:type="dxa"/>
          </w:tblCellMar>
        </w:tblPrEx>
        <w:trPr>
          <w:trHeight w:val="236" w:hRule="atLeast"/>
        </w:trPr>
        <w:tc>
          <w:tcPr>
            <w:tcW w:w="1392" w:type="dxa"/>
            <w:tcBorders>
              <w:top w:val="single" w:color="auto" w:sz="8" w:space="0"/>
              <w:left w:val="single" w:color="auto" w:sz="8" w:space="0"/>
              <w:bottom w:val="single" w:color="auto" w:sz="8" w:space="0"/>
              <w:right w:val="single" w:color="auto" w:sz="8" w:space="0"/>
            </w:tcBorders>
            <w:vAlign w:val="center"/>
          </w:tcPr>
          <w:p w14:paraId="66FD3AD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1400" w:type="dxa"/>
            <w:tcBorders>
              <w:top w:val="single" w:color="auto" w:sz="8" w:space="0"/>
              <w:left w:val="single" w:color="auto" w:sz="4" w:space="0"/>
              <w:bottom w:val="single" w:color="auto" w:sz="8" w:space="0"/>
              <w:right w:val="single" w:color="auto" w:sz="4" w:space="0"/>
            </w:tcBorders>
            <w:vAlign w:val="center"/>
          </w:tcPr>
          <w:p w14:paraId="26B9B796">
            <w:pPr>
              <w:keepNext w:val="0"/>
              <w:keepLines w:val="0"/>
              <w:pageBreakBefore w:val="0"/>
              <w:kinsoku/>
              <w:wordWrap/>
              <w:overflowPunct/>
              <w:topLinePunct w:val="0"/>
              <w:autoSpaceDE/>
              <w:autoSpaceDN/>
              <w:bidi w:val="0"/>
              <w:adjustRightInd/>
              <w:spacing w:line="280" w:lineRule="exact"/>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其他要求</w:t>
            </w:r>
          </w:p>
        </w:tc>
        <w:tc>
          <w:tcPr>
            <w:tcW w:w="7333" w:type="dxa"/>
            <w:tcBorders>
              <w:top w:val="single" w:color="auto" w:sz="8" w:space="0"/>
              <w:left w:val="single" w:color="auto" w:sz="4" w:space="0"/>
              <w:bottom w:val="single" w:color="auto" w:sz="8" w:space="0"/>
              <w:right w:val="single" w:color="auto" w:sz="8" w:space="0"/>
            </w:tcBorders>
            <w:vAlign w:val="center"/>
          </w:tcPr>
          <w:p w14:paraId="7B28123B">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w:t>
            </w:r>
            <w:r>
              <w:rPr>
                <w:rFonts w:hint="eastAsia" w:ascii="宋体" w:hAnsi="宋体" w:eastAsia="宋体" w:cs="宋体"/>
                <w:b/>
                <w:bCs/>
                <w:color w:val="auto"/>
                <w:kern w:val="2"/>
                <w:sz w:val="21"/>
                <w:szCs w:val="21"/>
                <w:highlight w:val="none"/>
                <w:lang w:val="en-US" w:eastAsia="zh-CN" w:bidi="ar-SA"/>
              </w:rPr>
              <w:t>投标人应根据</w:t>
            </w:r>
            <w:r>
              <w:rPr>
                <w:rFonts w:hint="eastAsia" w:ascii="宋体" w:hAnsi="宋体" w:cs="宋体"/>
                <w:b/>
                <w:bCs/>
                <w:color w:val="auto"/>
                <w:kern w:val="2"/>
                <w:sz w:val="21"/>
                <w:szCs w:val="21"/>
                <w:highlight w:val="none"/>
                <w:lang w:val="en-US" w:eastAsia="zh-CN" w:bidi="ar-SA"/>
              </w:rPr>
              <w:t>招标人</w:t>
            </w:r>
            <w:r>
              <w:rPr>
                <w:rFonts w:hint="eastAsia" w:ascii="宋体" w:hAnsi="宋体" w:eastAsia="宋体" w:cs="宋体"/>
                <w:b/>
                <w:bCs/>
                <w:color w:val="auto"/>
                <w:kern w:val="2"/>
                <w:sz w:val="21"/>
                <w:szCs w:val="21"/>
                <w:highlight w:val="none"/>
                <w:lang w:val="en-US" w:eastAsia="zh-CN" w:bidi="ar-SA"/>
              </w:rPr>
              <w:t>要求提供相应报价单。</w:t>
            </w:r>
          </w:p>
          <w:p w14:paraId="5D26EF16">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投标人报价后</w:t>
            </w:r>
            <w:r>
              <w:rPr>
                <w:rFonts w:hint="eastAsia" w:ascii="宋体" w:hAnsi="宋体" w:cs="宋体"/>
                <w:b/>
                <w:bCs/>
                <w:color w:val="auto"/>
                <w:kern w:val="2"/>
                <w:sz w:val="21"/>
                <w:szCs w:val="21"/>
                <w:highlight w:val="none"/>
                <w:lang w:val="en-US" w:eastAsia="zh-CN" w:bidi="ar-SA"/>
              </w:rPr>
              <w:t>在投标截止时间后</w:t>
            </w:r>
            <w:r>
              <w:rPr>
                <w:rFonts w:hint="eastAsia" w:ascii="宋体" w:hAnsi="宋体" w:eastAsia="宋体" w:cs="宋体"/>
                <w:b/>
                <w:bCs/>
                <w:color w:val="auto"/>
                <w:kern w:val="2"/>
                <w:sz w:val="21"/>
                <w:szCs w:val="21"/>
                <w:highlight w:val="none"/>
                <w:lang w:val="en-US" w:eastAsia="zh-CN" w:bidi="ar-SA"/>
              </w:rPr>
              <w:t>不可撤回，否则该报价人一年内不得参与滁州市鑫鼎城市更新建设运营有限公司的所有询价活动。</w:t>
            </w:r>
          </w:p>
          <w:p w14:paraId="3D6A4ECF">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3.</w:t>
            </w:r>
            <w:r>
              <w:rPr>
                <w:rFonts w:hint="eastAsia" w:ascii="宋体" w:hAnsi="宋体" w:eastAsia="宋体" w:cs="宋体"/>
                <w:b/>
                <w:bCs/>
                <w:color w:val="auto"/>
                <w:kern w:val="2"/>
                <w:sz w:val="21"/>
                <w:szCs w:val="21"/>
                <w:highlight w:val="none"/>
                <w:lang w:val="en-US" w:eastAsia="zh-CN" w:bidi="ar-SA"/>
              </w:rPr>
              <w:t>投标人根据自身经营情况报价，报价清单总价及单价均不得超过最高限价。</w:t>
            </w:r>
          </w:p>
        </w:tc>
      </w:tr>
    </w:tbl>
    <w:p w14:paraId="6BF141F4">
      <w:pPr>
        <w:pStyle w:val="15"/>
        <w:rPr>
          <w:rFonts w:hint="eastAsia"/>
          <w:color w:val="auto"/>
          <w:highlight w:val="none"/>
        </w:rPr>
      </w:pPr>
    </w:p>
    <w:p w14:paraId="34F7665C">
      <w:pPr>
        <w:pStyle w:val="6"/>
        <w:spacing w:before="0" w:after="0"/>
        <w:rPr>
          <w:rFonts w:hint="eastAsia" w:ascii="宋体" w:hAnsi="宋体" w:eastAsia="宋体" w:cs="宋体"/>
          <w:color w:val="auto"/>
          <w:highlight w:val="none"/>
        </w:rPr>
      </w:pPr>
    </w:p>
    <w:p w14:paraId="39E62B77">
      <w:pPr>
        <w:pStyle w:val="6"/>
        <w:spacing w:before="0" w:after="0"/>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章投标须知</w:t>
      </w:r>
      <w:bookmarkEnd w:id="1"/>
    </w:p>
    <w:p w14:paraId="69D70570">
      <w:pPr>
        <w:spacing w:line="400" w:lineRule="exact"/>
        <w:jc w:val="center"/>
        <w:outlineLvl w:val="1"/>
        <w:rPr>
          <w:rFonts w:hint="eastAsia" w:ascii="宋体" w:hAnsi="宋体" w:eastAsia="宋体" w:cs="宋体"/>
          <w:b/>
          <w:bCs/>
          <w:color w:val="auto"/>
          <w:sz w:val="28"/>
          <w:highlight w:val="none"/>
        </w:rPr>
      </w:pPr>
      <w:bookmarkStart w:id="2" w:name="_Toc515"/>
      <w:r>
        <w:rPr>
          <w:rFonts w:hint="eastAsia" w:ascii="宋体" w:hAnsi="宋体" w:eastAsia="宋体" w:cs="宋体"/>
          <w:b/>
          <w:bCs/>
          <w:color w:val="auto"/>
          <w:sz w:val="28"/>
          <w:highlight w:val="none"/>
        </w:rPr>
        <w:t>一、总  则</w:t>
      </w:r>
      <w:bookmarkEnd w:id="2"/>
    </w:p>
    <w:p w14:paraId="32FD48DF">
      <w:pPr>
        <w:keepNext w:val="0"/>
        <w:keepLines w:val="0"/>
        <w:pageBreakBefore w:val="0"/>
        <w:widowControl w:val="0"/>
        <w:kinsoku/>
        <w:wordWrap/>
        <w:overflowPunct/>
        <w:topLinePunct w:val="0"/>
        <w:autoSpaceDE/>
        <w:autoSpaceDN/>
        <w:bidi w:val="0"/>
        <w:adjustRightInd/>
        <w:snapToGrid/>
        <w:spacing w:line="510" w:lineRule="exact"/>
        <w:ind w:left="0" w:left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7C437A8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1.1本次招标</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亭城玺悦里项目沙盘、品牌墙制作采购</w:t>
      </w:r>
    </w:p>
    <w:p w14:paraId="20C9DA8F">
      <w:pPr>
        <w:keepNext w:val="0"/>
        <w:keepLines w:val="0"/>
        <w:pageBreakBefore w:val="0"/>
        <w:widowControl w:val="0"/>
        <w:kinsoku/>
        <w:wordWrap/>
        <w:overflowPunct/>
        <w:topLinePunct w:val="0"/>
        <w:autoSpaceDE/>
        <w:autoSpaceDN/>
        <w:bidi w:val="0"/>
        <w:adjustRightInd/>
        <w:snapToGrid/>
        <w:spacing w:line="510" w:lineRule="exact"/>
        <w:ind w:left="1050" w:leftChars="0" w:hanging="1050" w:hangingChars="5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工程地址：</w:t>
      </w:r>
      <w:r>
        <w:rPr>
          <w:rFonts w:hint="eastAsia" w:ascii="宋体" w:hAnsi="宋体" w:eastAsia="宋体" w:cs="宋体"/>
          <w:color w:val="auto"/>
          <w:sz w:val="21"/>
          <w:szCs w:val="21"/>
          <w:highlight w:val="none"/>
          <w:u w:val="single"/>
        </w:rPr>
        <w:t>滁州市</w:t>
      </w:r>
      <w:r>
        <w:rPr>
          <w:rFonts w:hint="eastAsia" w:ascii="宋体" w:hAnsi="宋体" w:eastAsia="宋体" w:cs="宋体"/>
          <w:color w:val="auto"/>
          <w:sz w:val="21"/>
          <w:szCs w:val="21"/>
          <w:highlight w:val="none"/>
          <w:u w:val="single"/>
          <w:lang w:val="en-US" w:eastAsia="zh-CN"/>
        </w:rPr>
        <w:t>内</w:t>
      </w:r>
    </w:p>
    <w:p w14:paraId="353FEAF8">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单位：</w:t>
      </w:r>
      <w:r>
        <w:rPr>
          <w:rFonts w:hint="eastAsia" w:ascii="宋体" w:hAnsi="宋体" w:eastAsia="宋体" w:cs="宋体"/>
          <w:color w:val="auto"/>
          <w:sz w:val="21"/>
          <w:szCs w:val="21"/>
          <w:highlight w:val="none"/>
          <w:u w:val="single"/>
          <w:lang w:val="en-US" w:eastAsia="zh-CN"/>
        </w:rPr>
        <w:t>滁州市鑫鼎城市更新建设运营有限公司</w:t>
      </w:r>
    </w:p>
    <w:p w14:paraId="582F8B2D">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1.2本工程建设规模：</w:t>
      </w:r>
      <w:r>
        <w:rPr>
          <w:rFonts w:hint="eastAsia" w:ascii="宋体" w:hAnsi="宋体" w:eastAsia="宋体" w:cs="宋体"/>
          <w:color w:val="auto"/>
          <w:kern w:val="0"/>
          <w:sz w:val="21"/>
          <w:szCs w:val="21"/>
          <w:highlight w:val="none"/>
        </w:rPr>
        <w:t>项目位于中都大道与花亭路交叉口</w:t>
      </w:r>
      <w:r>
        <w:rPr>
          <w:rFonts w:hint="eastAsia" w:ascii="宋体" w:hAnsi="宋体" w:cs="宋体"/>
          <w:color w:val="auto"/>
          <w:kern w:val="0"/>
          <w:sz w:val="21"/>
          <w:szCs w:val="21"/>
          <w:highlight w:val="none"/>
          <w:lang w:val="en-US" w:eastAsia="zh-CN"/>
        </w:rPr>
        <w:t>东</w:t>
      </w:r>
      <w:r>
        <w:rPr>
          <w:rFonts w:hint="eastAsia" w:ascii="宋体" w:hAnsi="宋体" w:eastAsia="宋体" w:cs="宋体"/>
          <w:color w:val="auto"/>
          <w:kern w:val="0"/>
          <w:sz w:val="21"/>
          <w:szCs w:val="21"/>
          <w:highlight w:val="none"/>
        </w:rPr>
        <w:t>北侧，处于龙蟠河景观带北，总占地约71亩，总建筑面积约10万方，绿地率高达35%，容积率为1.29，共规划有1幢商业、3幢约127㎡-197㎡10F小高层、7幢约134㎡-170㎡6-8F洋房，12幢约214㎡-238㎡上下4F叠墅产品，共计约350住户</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p>
    <w:p w14:paraId="14E196CD">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招标范围</w:t>
      </w:r>
    </w:p>
    <w:p w14:paraId="562843C8">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详见《投标须知前附表》要求</w:t>
      </w:r>
      <w:r>
        <w:rPr>
          <w:rFonts w:hint="eastAsia" w:ascii="宋体" w:hAnsi="宋体" w:cs="宋体"/>
          <w:color w:val="auto"/>
          <w:sz w:val="21"/>
          <w:szCs w:val="21"/>
          <w:highlight w:val="none"/>
          <w:lang w:val="en-US" w:eastAsia="zh-CN"/>
        </w:rPr>
        <w:t>。</w:t>
      </w:r>
    </w:p>
    <w:p w14:paraId="09714E61">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55113972">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cs="宋体"/>
          <w:color w:val="auto"/>
          <w:sz w:val="21"/>
          <w:szCs w:val="21"/>
          <w:highlight w:val="none"/>
          <w:u w:val="single"/>
          <w:lang w:val="en-US" w:eastAsia="zh-CN"/>
        </w:rPr>
        <w:t>总承包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3D6266">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4.服务期要求</w:t>
      </w:r>
    </w:p>
    <w:p w14:paraId="73AC6212">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详见《投标须知前附表》要求</w:t>
      </w:r>
      <w:r>
        <w:rPr>
          <w:rFonts w:hint="eastAsia" w:ascii="宋体" w:hAnsi="宋体" w:eastAsia="宋体" w:cs="宋体"/>
          <w:color w:val="auto"/>
          <w:kern w:val="0"/>
          <w:sz w:val="21"/>
          <w:szCs w:val="21"/>
          <w:highlight w:val="none"/>
        </w:rPr>
        <w:t>。</w:t>
      </w:r>
    </w:p>
    <w:p w14:paraId="3BACF948">
      <w:pPr>
        <w:keepNext w:val="0"/>
        <w:keepLines w:val="0"/>
        <w:pageBreakBefore w:val="0"/>
        <w:widowControl w:val="0"/>
        <w:kinsoku/>
        <w:wordWrap/>
        <w:overflowPunct/>
        <w:topLinePunct w:val="0"/>
        <w:autoSpaceDE/>
        <w:autoSpaceDN/>
        <w:bidi w:val="0"/>
        <w:spacing w:line="51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330B8AF5">
      <w:pPr>
        <w:keepNext w:val="0"/>
        <w:keepLines w:val="0"/>
        <w:pageBreakBefore w:val="0"/>
        <w:widowControl w:val="0"/>
        <w:kinsoku/>
        <w:wordWrap/>
        <w:overflowPunct/>
        <w:topLinePunct w:val="0"/>
        <w:autoSpaceDE/>
        <w:autoSpaceDN/>
        <w:bidi w:val="0"/>
        <w:spacing w:line="51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详见《投标须知前附表》要求</w:t>
      </w:r>
      <w:r>
        <w:rPr>
          <w:rFonts w:hint="eastAsia" w:ascii="宋体" w:hAnsi="宋体" w:eastAsia="宋体" w:cs="宋体"/>
          <w:color w:val="auto"/>
          <w:sz w:val="21"/>
          <w:szCs w:val="21"/>
          <w:highlight w:val="none"/>
        </w:rPr>
        <w:t>。</w:t>
      </w:r>
    </w:p>
    <w:p w14:paraId="5AEDB72B">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7FC2E728">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详见《投标须知前附表》要求。</w:t>
      </w:r>
    </w:p>
    <w:p w14:paraId="17043C8B">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15DC034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自筹</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63F92249">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7DF075A">
      <w:pPr>
        <w:keepNext w:val="0"/>
        <w:keepLines w:val="0"/>
        <w:pageBreakBefore w:val="0"/>
        <w:widowControl w:val="0"/>
        <w:kinsoku/>
        <w:wordWrap/>
        <w:overflowPunct/>
        <w:topLinePunct w:val="0"/>
        <w:autoSpaceDE/>
        <w:autoSpaceDN/>
        <w:bidi w:val="0"/>
        <w:spacing w:line="51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5087E156">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16226E2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自行招标 </w:t>
      </w:r>
      <w:r>
        <w:rPr>
          <w:rFonts w:hint="eastAsia" w:ascii="宋体" w:hAnsi="宋体" w:eastAsia="宋体" w:cs="宋体"/>
          <w:color w:val="auto"/>
          <w:sz w:val="21"/>
          <w:szCs w:val="21"/>
          <w:highlight w:val="none"/>
        </w:rPr>
        <w:t>。</w:t>
      </w:r>
    </w:p>
    <w:p w14:paraId="046EC712">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87420C">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cs="宋体"/>
          <w:color w:val="auto"/>
          <w:sz w:val="21"/>
          <w:szCs w:val="21"/>
          <w:highlight w:val="none"/>
          <w:u w:val="single"/>
          <w:lang w:val="en-US" w:eastAsia="zh-CN"/>
        </w:rPr>
        <w:t xml:space="preserve">单价 </w:t>
      </w:r>
      <w:r>
        <w:rPr>
          <w:rFonts w:hint="eastAsia" w:ascii="宋体" w:hAnsi="宋体" w:eastAsia="宋体" w:cs="宋体"/>
          <w:color w:val="auto"/>
          <w:sz w:val="21"/>
          <w:szCs w:val="21"/>
          <w:highlight w:val="none"/>
        </w:rPr>
        <w:t>。</w:t>
      </w:r>
    </w:p>
    <w:p w14:paraId="580D6004">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1C77AA20">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245E2D55">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highlight w:val="none"/>
        </w:rPr>
      </w:pPr>
      <w:bookmarkStart w:id="3" w:name="_Toc29988"/>
      <w:r>
        <w:rPr>
          <w:rFonts w:hint="eastAsia" w:ascii="宋体" w:hAnsi="宋体" w:eastAsia="宋体" w:cs="宋体"/>
          <w:color w:val="auto"/>
          <w:sz w:val="28"/>
          <w:highlight w:val="none"/>
        </w:rPr>
        <w:t>二、招标文件</w:t>
      </w:r>
      <w:bookmarkEnd w:id="3"/>
    </w:p>
    <w:p w14:paraId="2BA822D8">
      <w:pPr>
        <w:keepNext w:val="0"/>
        <w:keepLines w:val="0"/>
        <w:pageBreakBefore w:val="0"/>
        <w:widowControl w:val="0"/>
        <w:kinsoku/>
        <w:wordWrap/>
        <w:overflowPunct/>
        <w:topLinePunct w:val="0"/>
        <w:autoSpaceDE/>
        <w:autoSpaceDN/>
        <w:bidi w:val="0"/>
        <w:spacing w:line="510" w:lineRule="exact"/>
        <w:jc w:val="center"/>
        <w:textAlignment w:val="auto"/>
        <w:rPr>
          <w:rFonts w:hint="eastAsia" w:ascii="宋体" w:hAnsi="宋体" w:eastAsia="宋体" w:cs="宋体"/>
          <w:color w:val="auto"/>
          <w:sz w:val="28"/>
          <w:highlight w:val="none"/>
        </w:rPr>
      </w:pPr>
    </w:p>
    <w:p w14:paraId="69E4DEE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招标文件的编制依据</w:t>
      </w:r>
    </w:p>
    <w:p w14:paraId="0D7DDBAA">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根据《中华人民共和国招标投标法》、《工程建设项目施工招标投标办法》（七部委联合部令第30号）等相关法律法规和规章及部、省、市级规范性文件的规定，编制本招标文件。</w:t>
      </w:r>
    </w:p>
    <w:p w14:paraId="402777DC">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24CDBBA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招标文件包括内容：</w:t>
      </w:r>
    </w:p>
    <w:p w14:paraId="2B8A0AB9">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投标须知</w:t>
      </w:r>
    </w:p>
    <w:p w14:paraId="259671D1">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cs="宋体"/>
          <w:color w:val="auto"/>
          <w:sz w:val="21"/>
          <w:szCs w:val="21"/>
          <w:highlight w:val="none"/>
          <w:lang w:val="en-US" w:eastAsia="zh-CN"/>
        </w:rPr>
        <w:t>评标办法</w:t>
      </w:r>
    </w:p>
    <w:p w14:paraId="39D068F8">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第三章  服务要求</w:t>
      </w:r>
    </w:p>
    <w:p w14:paraId="00E3D362">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  合同条款</w:t>
      </w:r>
    </w:p>
    <w:p w14:paraId="38C775B6">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章  投标文件格式</w:t>
      </w:r>
    </w:p>
    <w:p w14:paraId="0C512955">
      <w:pPr>
        <w:keepNext w:val="0"/>
        <w:keepLines w:val="0"/>
        <w:pageBreakBefore w:val="0"/>
        <w:widowControl w:val="0"/>
        <w:kinsoku/>
        <w:wordWrap/>
        <w:overflowPunct/>
        <w:topLinePunct w:val="0"/>
        <w:autoSpaceDE/>
        <w:autoSpaceDN/>
        <w:bidi w:val="0"/>
        <w:adjustRightInd w:val="0"/>
        <w:snapToGrid w:val="0"/>
        <w:spacing w:line="510" w:lineRule="exact"/>
        <w:ind w:firstLine="1050" w:firstLineChars="5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章  招标单位、招标代理机构对本招标文件的确认</w:t>
      </w:r>
    </w:p>
    <w:p w14:paraId="73F11A4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2CDBEF21">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13.3投标人应仔细检查招标文件的所有内容，</w:t>
      </w:r>
      <w:r>
        <w:rPr>
          <w:rFonts w:hint="eastAsia" w:ascii="宋体" w:hAnsi="宋体" w:eastAsia="宋体" w:cs="宋体"/>
          <w:bCs/>
          <w:color w:val="auto"/>
          <w:sz w:val="21"/>
          <w:szCs w:val="21"/>
          <w:highlight w:val="none"/>
        </w:rPr>
        <w:t>如有残缺等问题应在</w:t>
      </w:r>
      <w:r>
        <w:rPr>
          <w:rFonts w:hint="eastAsia" w:ascii="宋体" w:hAnsi="宋体" w:eastAsia="宋体" w:cs="宋体"/>
          <w:b/>
          <w:bCs w:val="0"/>
          <w:color w:val="auto"/>
          <w:sz w:val="21"/>
          <w:szCs w:val="21"/>
          <w:highlight w:val="none"/>
          <w:u w:val="single"/>
        </w:rPr>
        <w:t>202</w:t>
      </w:r>
      <w:r>
        <w:rPr>
          <w:rFonts w:hint="eastAsia" w:ascii="宋体" w:hAnsi="宋体" w:cs="宋体"/>
          <w:b/>
          <w:bCs w:val="0"/>
          <w:color w:val="auto"/>
          <w:sz w:val="21"/>
          <w:szCs w:val="21"/>
          <w:highlight w:val="none"/>
          <w:u w:val="single"/>
          <w:lang w:val="en-US" w:eastAsia="zh-CN"/>
        </w:rPr>
        <w:t>4</w:t>
      </w:r>
      <w:r>
        <w:rPr>
          <w:rFonts w:hint="eastAsia" w:ascii="宋体" w:hAnsi="宋体" w:eastAsia="宋体" w:cs="宋体"/>
          <w:b/>
          <w:bCs w:val="0"/>
          <w:color w:val="auto"/>
          <w:sz w:val="21"/>
          <w:szCs w:val="21"/>
          <w:highlight w:val="none"/>
          <w:u w:val="single"/>
        </w:rPr>
        <w:t>年</w:t>
      </w:r>
      <w:r>
        <w:rPr>
          <w:rFonts w:hint="eastAsia" w:ascii="宋体" w:hAnsi="宋体" w:cs="宋体"/>
          <w:b/>
          <w:bCs w:val="0"/>
          <w:color w:val="auto"/>
          <w:sz w:val="21"/>
          <w:szCs w:val="21"/>
          <w:highlight w:val="none"/>
          <w:u w:val="single"/>
          <w:lang w:val="en-US" w:eastAsia="zh-CN"/>
        </w:rPr>
        <w:t>7</w:t>
      </w:r>
      <w:r>
        <w:rPr>
          <w:rFonts w:hint="eastAsia" w:ascii="宋体" w:hAnsi="宋体" w:eastAsia="宋体" w:cs="宋体"/>
          <w:b/>
          <w:bCs w:val="0"/>
          <w:color w:val="auto"/>
          <w:sz w:val="21"/>
          <w:szCs w:val="21"/>
          <w:highlight w:val="none"/>
          <w:u w:val="single"/>
        </w:rPr>
        <w:t>月</w:t>
      </w:r>
      <w:r>
        <w:rPr>
          <w:rFonts w:hint="eastAsia" w:ascii="宋体" w:hAnsi="宋体" w:cs="宋体"/>
          <w:b/>
          <w:bCs w:val="0"/>
          <w:color w:val="auto"/>
          <w:sz w:val="21"/>
          <w:szCs w:val="21"/>
          <w:highlight w:val="none"/>
          <w:u w:val="single"/>
          <w:lang w:val="en-US" w:eastAsia="zh-CN"/>
        </w:rPr>
        <w:t>31</w:t>
      </w:r>
      <w:r>
        <w:rPr>
          <w:rFonts w:hint="eastAsia" w:ascii="宋体" w:hAnsi="宋体" w:eastAsia="宋体" w:cs="宋体"/>
          <w:b/>
          <w:bCs w:val="0"/>
          <w:color w:val="auto"/>
          <w:sz w:val="21"/>
          <w:szCs w:val="21"/>
          <w:highlight w:val="none"/>
          <w:u w:val="single"/>
        </w:rPr>
        <w:t>日</w:t>
      </w:r>
      <w:r>
        <w:rPr>
          <w:rFonts w:hint="eastAsia" w:ascii="宋体" w:hAnsi="宋体" w:cs="宋体"/>
          <w:b/>
          <w:bCs w:val="0"/>
          <w:color w:val="auto"/>
          <w:sz w:val="21"/>
          <w:szCs w:val="21"/>
          <w:highlight w:val="none"/>
          <w:u w:val="single"/>
          <w:lang w:val="en-US" w:eastAsia="zh-CN"/>
        </w:rPr>
        <w:t>17</w:t>
      </w:r>
      <w:r>
        <w:rPr>
          <w:rFonts w:hint="eastAsia" w:ascii="宋体" w:hAnsi="宋体" w:eastAsia="宋体" w:cs="宋体"/>
          <w:b/>
          <w:bCs w:val="0"/>
          <w:color w:val="auto"/>
          <w:sz w:val="21"/>
          <w:szCs w:val="21"/>
          <w:highlight w:val="none"/>
          <w:u w:val="single"/>
        </w:rPr>
        <w:t>时</w:t>
      </w:r>
      <w:r>
        <w:rPr>
          <w:rFonts w:hint="eastAsia" w:ascii="宋体" w:hAnsi="宋体" w:eastAsia="宋体" w:cs="宋体"/>
          <w:bCs/>
          <w:color w:val="auto"/>
          <w:sz w:val="21"/>
          <w:szCs w:val="21"/>
          <w:highlight w:val="none"/>
          <w:u w:val="single"/>
        </w:rPr>
        <w:t>前</w:t>
      </w:r>
      <w:r>
        <w:rPr>
          <w:rFonts w:hint="eastAsia" w:ascii="宋体" w:hAnsi="宋体" w:eastAsia="宋体" w:cs="宋体"/>
          <w:bCs/>
          <w:color w:val="auto"/>
          <w:sz w:val="21"/>
          <w:szCs w:val="21"/>
          <w:highlight w:val="none"/>
        </w:rPr>
        <w:t>投标人将所遇到的问题以电子邮件形式传czsctgczx@163.com滁州市城投工程咨询管理有限公司电子邮箱</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否则</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14:paraId="0998963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5506DEB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澄清内容</w:t>
      </w:r>
      <w:r>
        <w:rPr>
          <w:rFonts w:hint="eastAsia" w:ascii="宋体" w:hAnsi="宋体" w:eastAsia="宋体" w:cs="宋体"/>
          <w:color w:val="auto"/>
          <w:kern w:val="0"/>
          <w:sz w:val="21"/>
          <w:szCs w:val="21"/>
          <w:highlight w:val="none"/>
        </w:rPr>
        <w:t>将于</w:t>
      </w:r>
      <w:r>
        <w:rPr>
          <w:rFonts w:hint="eastAsia" w:ascii="宋体" w:hAnsi="宋体" w:eastAsia="宋体" w:cs="宋体"/>
          <w:b/>
          <w:bCs w:val="0"/>
          <w:color w:val="auto"/>
          <w:kern w:val="0"/>
          <w:sz w:val="21"/>
          <w:szCs w:val="21"/>
          <w:highlight w:val="none"/>
          <w:u w:val="single"/>
        </w:rPr>
        <w:t>202</w:t>
      </w:r>
      <w:r>
        <w:rPr>
          <w:rFonts w:hint="eastAsia" w:ascii="宋体" w:hAnsi="宋体" w:cs="宋体"/>
          <w:b/>
          <w:bCs w:val="0"/>
          <w:color w:val="auto"/>
          <w:kern w:val="0"/>
          <w:sz w:val="21"/>
          <w:szCs w:val="21"/>
          <w:highlight w:val="none"/>
          <w:u w:val="single"/>
          <w:lang w:val="en-US" w:eastAsia="zh-CN"/>
        </w:rPr>
        <w:t>4</w:t>
      </w:r>
      <w:r>
        <w:rPr>
          <w:rFonts w:hint="eastAsia" w:ascii="宋体" w:hAnsi="宋体" w:eastAsia="宋体" w:cs="宋体"/>
          <w:b/>
          <w:bCs w:val="0"/>
          <w:color w:val="auto"/>
          <w:kern w:val="0"/>
          <w:sz w:val="21"/>
          <w:szCs w:val="21"/>
          <w:highlight w:val="none"/>
          <w:u w:val="single"/>
        </w:rPr>
        <w:t>年</w:t>
      </w:r>
      <w:r>
        <w:rPr>
          <w:rFonts w:hint="eastAsia" w:ascii="宋体" w:hAnsi="宋体" w:cs="宋体"/>
          <w:b/>
          <w:bCs w:val="0"/>
          <w:color w:val="auto"/>
          <w:kern w:val="0"/>
          <w:sz w:val="21"/>
          <w:szCs w:val="21"/>
          <w:highlight w:val="none"/>
          <w:u w:val="single"/>
          <w:lang w:val="en-US" w:eastAsia="zh-CN"/>
        </w:rPr>
        <w:t>8</w:t>
      </w:r>
      <w:r>
        <w:rPr>
          <w:rFonts w:hint="eastAsia" w:ascii="宋体" w:hAnsi="宋体" w:eastAsia="宋体" w:cs="宋体"/>
          <w:b/>
          <w:bCs w:val="0"/>
          <w:color w:val="auto"/>
          <w:kern w:val="0"/>
          <w:sz w:val="21"/>
          <w:szCs w:val="21"/>
          <w:highlight w:val="none"/>
          <w:u w:val="single"/>
        </w:rPr>
        <w:t>月</w:t>
      </w:r>
      <w:r>
        <w:rPr>
          <w:rFonts w:hint="eastAsia" w:ascii="宋体" w:hAnsi="宋体" w:cs="宋体"/>
          <w:b/>
          <w:bCs w:val="0"/>
          <w:color w:val="auto"/>
          <w:kern w:val="0"/>
          <w:sz w:val="21"/>
          <w:szCs w:val="21"/>
          <w:highlight w:val="none"/>
          <w:u w:val="single"/>
          <w:lang w:val="en-US" w:eastAsia="zh-CN"/>
        </w:rPr>
        <w:t>1</w:t>
      </w:r>
      <w:r>
        <w:rPr>
          <w:rFonts w:hint="eastAsia" w:ascii="宋体" w:hAnsi="宋体" w:eastAsia="宋体" w:cs="宋体"/>
          <w:b/>
          <w:bCs w:val="0"/>
          <w:color w:val="auto"/>
          <w:kern w:val="0"/>
          <w:sz w:val="21"/>
          <w:szCs w:val="21"/>
          <w:highlight w:val="none"/>
          <w:u w:val="single"/>
        </w:rPr>
        <w:t>日17时</w:t>
      </w:r>
      <w:r>
        <w:rPr>
          <w:rFonts w:hint="eastAsia" w:ascii="宋体" w:hAnsi="宋体" w:eastAsia="宋体" w:cs="宋体"/>
          <w:color w:val="auto"/>
          <w:kern w:val="0"/>
          <w:sz w:val="21"/>
          <w:szCs w:val="21"/>
          <w:highlight w:val="none"/>
        </w:rPr>
        <w:t>后以书面</w:t>
      </w:r>
      <w:r>
        <w:rPr>
          <w:rFonts w:hint="eastAsia" w:ascii="宋体" w:hAnsi="宋体" w:cs="宋体"/>
          <w:color w:val="auto"/>
          <w:kern w:val="0"/>
          <w:sz w:val="21"/>
          <w:szCs w:val="21"/>
          <w:highlight w:val="none"/>
          <w:lang w:val="en-US" w:eastAsia="zh-CN"/>
        </w:rPr>
        <w:t>(滁州市亭城文化旅游投资集团有限公司网站发布)</w:t>
      </w:r>
      <w:r>
        <w:rPr>
          <w:rFonts w:hint="eastAsia" w:ascii="宋体" w:hAnsi="宋体" w:eastAsia="宋体" w:cs="宋体"/>
          <w:color w:val="auto"/>
          <w:kern w:val="0"/>
          <w:sz w:val="21"/>
          <w:szCs w:val="21"/>
          <w:highlight w:val="none"/>
        </w:rPr>
        <w:t>通知各投标人</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726C90E5">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本招标文件由招标人委托的招标代理机构负责解释。</w:t>
      </w:r>
    </w:p>
    <w:p w14:paraId="4FA3F71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5E6DBD4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03BD1E4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38924BD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投标预备会</w:t>
      </w:r>
    </w:p>
    <w:p w14:paraId="55D0952A">
      <w:pPr>
        <w:keepNext w:val="0"/>
        <w:keepLines w:val="0"/>
        <w:pageBreakBefore w:val="0"/>
        <w:widowControl w:val="0"/>
        <w:kinsoku/>
        <w:wordWrap w:val="0"/>
        <w:overflowPunct/>
        <w:topLinePunct w:val="0"/>
        <w:autoSpaceDE/>
        <w:autoSpaceDN/>
        <w:bidi w:val="0"/>
        <w:adjustRightInd/>
        <w:snapToGrid/>
        <w:spacing w:line="51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15.2.1投标人于</w:t>
      </w:r>
      <w:r>
        <w:rPr>
          <w:rFonts w:hint="eastAsia" w:ascii="宋体" w:hAnsi="宋体" w:eastAsia="宋体" w:cs="宋体"/>
          <w:b/>
          <w:bCs w:val="0"/>
          <w:color w:val="auto"/>
          <w:sz w:val="21"/>
          <w:szCs w:val="21"/>
          <w:highlight w:val="none"/>
        </w:rPr>
        <w:t>20</w:t>
      </w:r>
      <w:r>
        <w:rPr>
          <w:rFonts w:hint="eastAsia" w:ascii="宋体" w:hAnsi="宋体" w:cs="宋体"/>
          <w:b/>
          <w:bCs w:val="0"/>
          <w:color w:val="auto"/>
          <w:sz w:val="21"/>
          <w:szCs w:val="21"/>
          <w:highlight w:val="none"/>
          <w:lang w:val="en-US" w:eastAsia="zh-CN"/>
        </w:rPr>
        <w:t>24</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31</w:t>
      </w:r>
      <w:r>
        <w:rPr>
          <w:rFonts w:hint="eastAsia" w:ascii="宋体" w:hAnsi="宋体" w:eastAsia="宋体" w:cs="宋体"/>
          <w:b/>
          <w:bCs w:val="0"/>
          <w:color w:val="auto"/>
          <w:sz w:val="21"/>
          <w:szCs w:val="21"/>
          <w:highlight w:val="none"/>
        </w:rPr>
        <w:fldChar w:fldCharType="begin"/>
      </w:r>
      <w:r>
        <w:rPr>
          <w:rFonts w:hint="eastAsia" w:ascii="宋体" w:hAnsi="宋体" w:eastAsia="宋体" w:cs="宋体"/>
          <w:b/>
          <w:bCs w:val="0"/>
          <w:color w:val="auto"/>
          <w:sz w:val="21"/>
          <w:szCs w:val="21"/>
          <w:highlight w:val="none"/>
        </w:rPr>
        <w:instrText xml:space="preserve"> HYPERLINK "mailto:日17时前投标人将所遇到的问题以电子邮件形式传624857457@qq.com滁州市诚信建设项目管理有限公司电子邮箱，招标人将于2019年5月" </w:instrText>
      </w:r>
      <w:r>
        <w:rPr>
          <w:rFonts w:hint="eastAsia" w:ascii="宋体" w:hAnsi="宋体" w:eastAsia="宋体" w:cs="宋体"/>
          <w:b/>
          <w:bCs w:val="0"/>
          <w:color w:val="auto"/>
          <w:sz w:val="21"/>
          <w:szCs w:val="21"/>
          <w:highlight w:val="none"/>
        </w:rPr>
        <w:fldChar w:fldCharType="separate"/>
      </w:r>
      <w:r>
        <w:rPr>
          <w:rStyle w:val="58"/>
          <w:rFonts w:hint="eastAsia" w:ascii="宋体" w:hAnsi="宋体" w:eastAsia="宋体" w:cs="宋体"/>
          <w:b/>
          <w:bCs w:val="0"/>
          <w:color w:val="auto"/>
          <w:sz w:val="21"/>
          <w:szCs w:val="21"/>
          <w:highlight w:val="none"/>
        </w:rPr>
        <w:t>日</w:t>
      </w:r>
      <w:r>
        <w:rPr>
          <w:rStyle w:val="58"/>
          <w:rFonts w:hint="eastAsia" w:ascii="宋体" w:hAnsi="宋体" w:cs="宋体"/>
          <w:b/>
          <w:bCs w:val="0"/>
          <w:color w:val="auto"/>
          <w:sz w:val="21"/>
          <w:szCs w:val="21"/>
          <w:highlight w:val="none"/>
          <w:lang w:val="en-US" w:eastAsia="zh-CN"/>
        </w:rPr>
        <w:t>17</w:t>
      </w:r>
      <w:r>
        <w:rPr>
          <w:rStyle w:val="58"/>
          <w:rFonts w:hint="eastAsia" w:ascii="宋体" w:hAnsi="宋体" w:eastAsia="宋体" w:cs="宋体"/>
          <w:b/>
          <w:bCs w:val="0"/>
          <w:color w:val="auto"/>
          <w:sz w:val="21"/>
          <w:szCs w:val="21"/>
          <w:highlight w:val="none"/>
        </w:rPr>
        <w:t>时前投标人将所遇到的问题以电子邮件形式传</w:t>
      </w:r>
      <w:r>
        <w:rPr>
          <w:rFonts w:hint="eastAsia" w:ascii="宋体" w:hAnsi="宋体" w:eastAsia="宋体" w:cs="宋体"/>
          <w:b/>
          <w:bCs w:val="0"/>
          <w:color w:val="auto"/>
          <w:sz w:val="21"/>
          <w:szCs w:val="21"/>
          <w:highlight w:val="none"/>
        </w:rPr>
        <w:t>czsctgczx@163.com滁州市城投工程咨询管理有限公司</w:t>
      </w:r>
      <w:r>
        <w:rPr>
          <w:rStyle w:val="58"/>
          <w:rFonts w:hint="eastAsia" w:ascii="宋体" w:hAnsi="宋体" w:eastAsia="宋体" w:cs="宋体"/>
          <w:b/>
          <w:bCs w:val="0"/>
          <w:color w:val="auto"/>
          <w:sz w:val="21"/>
          <w:szCs w:val="21"/>
          <w:highlight w:val="none"/>
        </w:rPr>
        <w:t>电子邮箱，招标人将于202</w:t>
      </w:r>
      <w:r>
        <w:rPr>
          <w:rStyle w:val="58"/>
          <w:rFonts w:hint="eastAsia" w:ascii="宋体" w:hAnsi="宋体" w:cs="宋体"/>
          <w:b/>
          <w:bCs w:val="0"/>
          <w:color w:val="auto"/>
          <w:sz w:val="21"/>
          <w:szCs w:val="21"/>
          <w:highlight w:val="none"/>
          <w:lang w:val="en-US" w:eastAsia="zh-CN"/>
        </w:rPr>
        <w:t>4</w:t>
      </w:r>
      <w:r>
        <w:rPr>
          <w:rStyle w:val="58"/>
          <w:rFonts w:hint="eastAsia" w:ascii="宋体" w:hAnsi="宋体" w:eastAsia="宋体" w:cs="宋体"/>
          <w:b/>
          <w:bCs w:val="0"/>
          <w:color w:val="auto"/>
          <w:sz w:val="21"/>
          <w:szCs w:val="21"/>
          <w:highlight w:val="none"/>
        </w:rPr>
        <w:t>年</w:t>
      </w:r>
      <w:r>
        <w:rPr>
          <w:rStyle w:val="58"/>
          <w:rFonts w:hint="eastAsia" w:ascii="宋体" w:hAnsi="宋体" w:cs="宋体"/>
          <w:b/>
          <w:bCs w:val="0"/>
          <w:color w:val="auto"/>
          <w:sz w:val="21"/>
          <w:szCs w:val="21"/>
          <w:highlight w:val="none"/>
          <w:lang w:val="en-US" w:eastAsia="zh-CN"/>
        </w:rPr>
        <w:t>8</w:t>
      </w:r>
      <w:r>
        <w:rPr>
          <w:rStyle w:val="58"/>
          <w:rFonts w:hint="eastAsia" w:ascii="宋体" w:hAnsi="宋体" w:eastAsia="宋体" w:cs="宋体"/>
          <w:b/>
          <w:bCs w:val="0"/>
          <w:color w:val="auto"/>
          <w:sz w:val="21"/>
          <w:szCs w:val="21"/>
          <w:highlight w:val="none"/>
        </w:rPr>
        <w:t>月</w:t>
      </w:r>
      <w:r>
        <w:rPr>
          <w:rStyle w:val="58"/>
          <w:rFonts w:hint="eastAsia" w:ascii="宋体" w:hAnsi="宋体" w:eastAsia="宋体" w:cs="宋体"/>
          <w:b/>
          <w:bCs w:val="0"/>
          <w:color w:val="auto"/>
          <w:sz w:val="21"/>
          <w:szCs w:val="21"/>
          <w:highlight w:val="none"/>
        </w:rPr>
        <w:fldChar w:fldCharType="end"/>
      </w:r>
      <w:r>
        <w:rPr>
          <w:rStyle w:val="58"/>
          <w:rFonts w:hint="eastAsia" w:ascii="宋体" w:hAnsi="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日17时</w:t>
      </w:r>
      <w:r>
        <w:rPr>
          <w:rFonts w:hint="eastAsia" w:ascii="宋体" w:hAnsi="宋体" w:eastAsia="宋体" w:cs="宋体"/>
          <w:bCs/>
          <w:color w:val="auto"/>
          <w:sz w:val="21"/>
          <w:szCs w:val="21"/>
          <w:highlight w:val="none"/>
        </w:rPr>
        <w:t>后以书面(滁州市亭城文化旅游投资集团有限公司网站发布)通知各投标人。不再集中召开招标答疑会。</w:t>
      </w:r>
    </w:p>
    <w:p w14:paraId="21982595">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招标文件的发出</w:t>
      </w:r>
    </w:p>
    <w:p w14:paraId="66D2BEAE">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5EDC9C05">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17. 最高投标限价的作用和说明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详见《投标须知前附表》要求。</w:t>
      </w:r>
    </w:p>
    <w:p w14:paraId="28D13E4E">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bookmarkStart w:id="4" w:name="_Toc24852"/>
    </w:p>
    <w:p w14:paraId="008D87A7">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三、投标文件的编制</w:t>
      </w:r>
      <w:bookmarkEnd w:id="4"/>
    </w:p>
    <w:p w14:paraId="255B69F3">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 投标文件的组成</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资格证明材料</w:t>
      </w:r>
      <w:r>
        <w:rPr>
          <w:rFonts w:hint="eastAsia" w:ascii="宋体" w:hAnsi="宋体" w:cs="宋体"/>
          <w:b/>
          <w:bCs/>
          <w:color w:val="auto"/>
          <w:sz w:val="21"/>
          <w:szCs w:val="21"/>
          <w:highlight w:val="none"/>
          <w:lang w:val="en-US" w:eastAsia="zh-CN"/>
        </w:rPr>
        <w:t>、技术标、</w:t>
      </w:r>
      <w:r>
        <w:rPr>
          <w:rFonts w:hint="eastAsia" w:ascii="宋体" w:hAnsi="宋体" w:eastAsia="宋体" w:cs="宋体"/>
          <w:b/>
          <w:bCs/>
          <w:color w:val="auto"/>
          <w:sz w:val="21"/>
          <w:szCs w:val="21"/>
          <w:highlight w:val="none"/>
          <w:lang w:val="en-US" w:eastAsia="zh-CN"/>
        </w:rPr>
        <w:t>商务标分别装订、分别密封</w:t>
      </w:r>
      <w:r>
        <w:rPr>
          <w:rFonts w:hint="eastAsia" w:ascii="宋体" w:hAnsi="宋体" w:eastAsia="宋体" w:cs="宋体"/>
          <w:b/>
          <w:bCs/>
          <w:color w:val="auto"/>
          <w:sz w:val="21"/>
          <w:szCs w:val="21"/>
          <w:highlight w:val="none"/>
          <w:lang w:eastAsia="zh-CN"/>
        </w:rPr>
        <w:t>）</w:t>
      </w:r>
    </w:p>
    <w:p w14:paraId="3FCB06C7">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18.1投标文件由投标文件一（资格证明材料）、投标文件二（技术标）和投标文件三（商务标）三部分组成。具体内容详见第</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章投标文件格式内容</w:t>
      </w:r>
      <w:r>
        <w:rPr>
          <w:rFonts w:hint="eastAsia" w:ascii="宋体" w:hAnsi="宋体" w:cs="宋体"/>
          <w:color w:val="auto"/>
          <w:sz w:val="21"/>
          <w:szCs w:val="21"/>
          <w:highlight w:val="none"/>
          <w:lang w:val="en-US" w:eastAsia="zh-CN"/>
        </w:rPr>
        <w:t>。</w:t>
      </w:r>
    </w:p>
    <w:p w14:paraId="2774DF27">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．投标报价</w:t>
      </w:r>
    </w:p>
    <w:p w14:paraId="5B43FECB">
      <w:pPr>
        <w:keepNext w:val="0"/>
        <w:keepLines w:val="0"/>
        <w:pageBreakBefore w:val="0"/>
        <w:widowControl w:val="0"/>
        <w:kinsoku/>
        <w:wordWrap/>
        <w:overflowPunct/>
        <w:topLinePunct w:val="0"/>
        <w:autoSpaceDE/>
        <w:autoSpaceDN/>
        <w:bidi w:val="0"/>
        <w:spacing w:line="51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.1 投标人的投标报价应为提供招标文件及合同条款中明示或暗示的服务内容而所需的（包括但不限于）所有材料</w:t>
      </w:r>
      <w:r>
        <w:rPr>
          <w:rFonts w:hint="eastAsia" w:ascii="宋体" w:hAnsi="宋体" w:cs="宋体"/>
          <w:b/>
          <w:bCs/>
          <w:color w:val="auto"/>
          <w:sz w:val="21"/>
          <w:szCs w:val="21"/>
          <w:highlight w:val="none"/>
          <w:lang w:val="en-US" w:eastAsia="zh-CN"/>
        </w:rPr>
        <w:t>费</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人工费、机械费、安装费、运输、</w:t>
      </w:r>
      <w:r>
        <w:rPr>
          <w:rFonts w:hint="eastAsia" w:ascii="宋体" w:hAnsi="宋体" w:eastAsia="宋体" w:cs="宋体"/>
          <w:b/>
          <w:bCs/>
          <w:color w:val="auto"/>
          <w:sz w:val="21"/>
          <w:szCs w:val="21"/>
          <w:highlight w:val="none"/>
        </w:rPr>
        <w:t>劳务、管理、差旅、评审、利润、税金、各类保险、</w:t>
      </w:r>
      <w:r>
        <w:rPr>
          <w:rFonts w:hint="eastAsia" w:ascii="宋体" w:hAnsi="宋体" w:cs="宋体"/>
          <w:b/>
          <w:bCs/>
          <w:color w:val="auto"/>
          <w:sz w:val="21"/>
          <w:szCs w:val="21"/>
          <w:highlight w:val="none"/>
          <w:lang w:val="en-US" w:eastAsia="zh-CN"/>
        </w:rPr>
        <w:t>代理费、专家评审费、</w:t>
      </w:r>
      <w:r>
        <w:rPr>
          <w:rFonts w:hint="eastAsia" w:ascii="宋体" w:hAnsi="宋体" w:eastAsia="宋体" w:cs="宋体"/>
          <w:b/>
          <w:bCs/>
          <w:color w:val="auto"/>
          <w:sz w:val="21"/>
          <w:szCs w:val="21"/>
          <w:highlight w:val="none"/>
        </w:rPr>
        <w:t>政策性及指导性文件规定及合同包含的所有风险、责任、义务等一切应有费用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招标人不再另行支付任何费用。</w:t>
      </w:r>
    </w:p>
    <w:p w14:paraId="18D2D8A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 投标报价不按规定报价的，其投标文件按无效标处理。</w:t>
      </w:r>
    </w:p>
    <w:p w14:paraId="007E80B1">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.投标有效期</w:t>
      </w:r>
    </w:p>
    <w:p w14:paraId="2138471B">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12DDCE8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2EA84FD6">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4"/>
          <w:highlight w:val="none"/>
          <w:lang w:val="en-US" w:eastAsia="zh-CN"/>
        </w:rPr>
      </w:pPr>
      <w:bookmarkStart w:id="5" w:name="_Toc27519"/>
      <w:r>
        <w:rPr>
          <w:rFonts w:hint="eastAsia" w:ascii="宋体" w:hAnsi="宋体" w:eastAsia="宋体" w:cs="宋体"/>
          <w:color w:val="auto"/>
          <w:sz w:val="24"/>
          <w:highlight w:val="none"/>
          <w:lang w:val="en-US" w:eastAsia="zh-CN"/>
        </w:rPr>
        <w:t xml:space="preserve"> </w:t>
      </w:r>
    </w:p>
    <w:p w14:paraId="0A645118">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四、投标文件的密封和递交</w:t>
      </w:r>
      <w:bookmarkEnd w:id="5"/>
    </w:p>
    <w:p w14:paraId="74A1856A">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投标文件的份数和签署</w:t>
      </w:r>
    </w:p>
    <w:p w14:paraId="381E09DC">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投标文件：书面文件一式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份，正本</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份，副本</w:t>
      </w:r>
      <w:r>
        <w:rPr>
          <w:rFonts w:hint="eastAsia" w:ascii="宋体" w:hAnsi="宋体" w:cs="宋体"/>
          <w:color w:val="auto"/>
          <w:sz w:val="21"/>
          <w:szCs w:val="21"/>
          <w:highlight w:val="none"/>
          <w:u w:val="single"/>
          <w:lang w:val="en-US" w:eastAsia="zh-CN"/>
        </w:rPr>
        <w:t>二</w:t>
      </w:r>
      <w:r>
        <w:rPr>
          <w:rFonts w:hint="eastAsia" w:ascii="宋体" w:hAnsi="宋体" w:eastAsia="宋体" w:cs="宋体"/>
          <w:color w:val="auto"/>
          <w:sz w:val="21"/>
          <w:szCs w:val="21"/>
          <w:highlight w:val="none"/>
        </w:rPr>
        <w:t>份。</w:t>
      </w:r>
    </w:p>
    <w:p w14:paraId="38334C44">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投标文件的正本和副本均需打印或使用不褪色的蓝、黑墨水笔书写，字迹应清晰易于辩认，并应在投标文件封面的右上角清楚地注明“正本”或“副本”。正本和副本如有不一致之处，以正本为准。</w:t>
      </w:r>
    </w:p>
    <w:p w14:paraId="3980F76F">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投标文件的装订、密封和标记</w:t>
      </w:r>
    </w:p>
    <w:p w14:paraId="6071C302">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投标文件的装订要求</w:t>
      </w:r>
    </w:p>
    <w:p w14:paraId="7E376BDC">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.1.1投标文件应组成按顺序装订在一起</w:t>
      </w:r>
    </w:p>
    <w:p w14:paraId="2047ADF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.2  投标文件的密封</w:t>
      </w:r>
    </w:p>
    <w:p w14:paraId="61140A7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.2.1投标人应当将投标文件正本、副本密封在文件袋内。</w:t>
      </w:r>
    </w:p>
    <w:p w14:paraId="5EDCA7F1">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22.2.2投标人应当将资格证明材料</w:t>
      </w:r>
      <w:r>
        <w:rPr>
          <w:rFonts w:hint="eastAsia" w:ascii="宋体" w:hAnsi="宋体" w:cs="宋体"/>
          <w:color w:val="auto"/>
          <w:sz w:val="21"/>
          <w:szCs w:val="21"/>
          <w:highlight w:val="none"/>
          <w:lang w:val="en-US" w:eastAsia="zh-CN"/>
        </w:rPr>
        <w:t>、技术标、</w:t>
      </w:r>
      <w:r>
        <w:rPr>
          <w:rFonts w:hint="eastAsia" w:ascii="宋体" w:hAnsi="宋体" w:eastAsia="宋体" w:cs="宋体"/>
          <w:color w:val="auto"/>
          <w:sz w:val="21"/>
          <w:szCs w:val="21"/>
          <w:highlight w:val="none"/>
          <w:lang w:val="en-US" w:eastAsia="zh-CN"/>
        </w:rPr>
        <w:t>商务标分别密封于相对应的密封袋中。</w:t>
      </w:r>
    </w:p>
    <w:p w14:paraId="56A4700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  投标文件密封袋的标记</w:t>
      </w:r>
    </w:p>
    <w:p w14:paraId="26113244">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.3.1在投标文件密封袋上应写明投标人名称和地址；注明下列识别标志：招标</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p>
    <w:p w14:paraId="0444E52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投标文件的提交</w:t>
      </w:r>
    </w:p>
    <w:p w14:paraId="34FBE245">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  投标文件提交的收件人、截止时间及地点</w:t>
      </w:r>
    </w:p>
    <w:p w14:paraId="7973CC55">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收件人：</w:t>
      </w:r>
      <w:r>
        <w:rPr>
          <w:rFonts w:hint="eastAsia" w:ascii="宋体" w:hAnsi="宋体" w:eastAsia="宋体" w:cs="宋体"/>
          <w:color w:val="auto"/>
          <w:kern w:val="0"/>
          <w:sz w:val="21"/>
          <w:szCs w:val="21"/>
          <w:highlight w:val="none"/>
          <w:u w:val="single"/>
        </w:rPr>
        <w:t xml:space="preserve"> 滁州市城投工程咨询管理有限公司</w:t>
      </w:r>
    </w:p>
    <w:p w14:paraId="779A7213">
      <w:pPr>
        <w:keepNext w:val="0"/>
        <w:keepLines w:val="0"/>
        <w:pageBreakBefore w:val="0"/>
        <w:widowControl w:val="0"/>
        <w:kinsoku/>
        <w:wordWrap/>
        <w:overflowPunct/>
        <w:topLinePunct w:val="0"/>
        <w:autoSpaceDE/>
        <w:autoSpaceDN/>
        <w:bidi w:val="0"/>
        <w:spacing w:line="510" w:lineRule="exact"/>
        <w:ind w:firstLine="630" w:firstLineChars="3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时  间：</w:t>
      </w:r>
      <w:r>
        <w:rPr>
          <w:rFonts w:hint="eastAsia" w:ascii="宋体" w:hAnsi="宋体" w:cs="宋体"/>
          <w:color w:val="auto"/>
          <w:kern w:val="0"/>
          <w:sz w:val="21"/>
          <w:szCs w:val="21"/>
          <w:highlight w:val="none"/>
          <w:u w:val="single"/>
          <w:lang w:val="en-US" w:eastAsia="zh-CN"/>
        </w:rPr>
        <w:t>详见投标须知前附表</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1848E44">
      <w:pPr>
        <w:keepNext w:val="0"/>
        <w:keepLines w:val="0"/>
        <w:pageBreakBefore w:val="0"/>
        <w:widowControl w:val="0"/>
        <w:kinsoku/>
        <w:wordWrap/>
        <w:overflowPunct/>
        <w:topLinePunct w:val="0"/>
        <w:autoSpaceDE/>
        <w:autoSpaceDN/>
        <w:bidi w:val="0"/>
        <w:spacing w:line="510" w:lineRule="exact"/>
        <w:ind w:left="1033" w:leftChars="342" w:hanging="315" w:hangingChars="15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  点：</w:t>
      </w:r>
      <w:r>
        <w:rPr>
          <w:rFonts w:hint="eastAsia" w:ascii="宋体" w:hAnsi="宋体" w:cs="宋体"/>
          <w:color w:val="auto"/>
          <w:kern w:val="0"/>
          <w:sz w:val="21"/>
          <w:szCs w:val="21"/>
          <w:highlight w:val="none"/>
          <w:u w:val="single"/>
          <w:lang w:val="en-US" w:eastAsia="zh-CN"/>
        </w:rPr>
        <w:t>详见投标须知前附表</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593E844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.2  迟交的投标文件</w:t>
      </w:r>
    </w:p>
    <w:p w14:paraId="02A1A69C">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.2.1招标人在本须知第2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.1款规定的投标截止时间以后收到的投标文件，将被拒绝并退回给投标人。</w:t>
      </w:r>
    </w:p>
    <w:p w14:paraId="44517B7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投标文件的补充、修改与撤回</w:t>
      </w:r>
    </w:p>
    <w:p w14:paraId="62A9F551">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  投标人在提交投标文件以后，在规定的投标截止时间之前，可以书面形式补充、修改或撤回已提交的投标文件，并以书面形式通知招标人。补充、修改的内容为投标文件的组成部分。</w:t>
      </w:r>
    </w:p>
    <w:p w14:paraId="50FC9E0C">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投标人对投标文件的补充、修改，应按本须知第2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条、第2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条和第</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条有关规定密封、标记和提交，并在投标文件密封袋上清楚标明“补充”、“修改”字样。</w:t>
      </w:r>
    </w:p>
    <w:p w14:paraId="1368A041">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  在投标截止时间之后，投标人不得补充、修改投标文件。</w:t>
      </w:r>
    </w:p>
    <w:p w14:paraId="79954449">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8"/>
          <w:szCs w:val="28"/>
          <w:highlight w:val="none"/>
        </w:rPr>
      </w:pPr>
    </w:p>
    <w:p w14:paraId="73CFEC6F">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bookmarkStart w:id="6" w:name="_Toc18173"/>
      <w:r>
        <w:rPr>
          <w:rFonts w:hint="eastAsia" w:ascii="宋体" w:hAnsi="宋体" w:eastAsia="宋体" w:cs="宋体"/>
          <w:color w:val="auto"/>
          <w:sz w:val="28"/>
          <w:szCs w:val="28"/>
          <w:highlight w:val="none"/>
        </w:rPr>
        <w:t>五、开标、评标和定标</w:t>
      </w:r>
      <w:bookmarkEnd w:id="6"/>
    </w:p>
    <w:p w14:paraId="4519713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开标</w:t>
      </w:r>
    </w:p>
    <w:p w14:paraId="12274EA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3CE5BEE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.1.1招标人按本须知第2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.1条提交投标文件的截止时间和地点公开开标，并邀请所有投标人参加。</w:t>
      </w:r>
    </w:p>
    <w:p w14:paraId="0B8334F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42B7DA72">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  对参加开标的投标人的要求</w:t>
      </w:r>
    </w:p>
    <w:p w14:paraId="626FD86B">
      <w:pPr>
        <w:keepNext w:val="0"/>
        <w:keepLines w:val="0"/>
        <w:pageBreakBefore w:val="0"/>
        <w:widowControl w:val="0"/>
        <w:kinsoku/>
        <w:wordWrap/>
        <w:overflowPunct/>
        <w:topLinePunct w:val="0"/>
        <w:autoSpaceDE/>
        <w:autoSpaceDN/>
        <w:bidi w:val="0"/>
        <w:spacing w:line="510" w:lineRule="exact"/>
        <w:ind w:right="-334" w:rightChars="-159"/>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 投标人的法定代表人（或委托代理人）必须准时参加开标会议</w:t>
      </w:r>
      <w:r>
        <w:rPr>
          <w:rFonts w:hint="eastAsia" w:ascii="宋体" w:hAnsi="宋体" w:eastAsia="宋体" w:cs="宋体"/>
          <w:b/>
          <w:bCs/>
          <w:color w:val="auto"/>
          <w:sz w:val="21"/>
          <w:szCs w:val="21"/>
          <w:highlight w:val="none"/>
        </w:rPr>
        <w:t>。</w:t>
      </w:r>
    </w:p>
    <w:p w14:paraId="372B2A5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  开标程序</w:t>
      </w:r>
    </w:p>
    <w:p w14:paraId="5AACAF00">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①开标会议由招标代理机构：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滁州市城投工程咨询管理有限公司</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（招标代理公司）主持；</w:t>
      </w:r>
    </w:p>
    <w:p w14:paraId="0AEA9BFD">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②公布在投标截止时间前递交投标文件的投标人名称，并确认投标单位相关人员是否到场；</w:t>
      </w:r>
    </w:p>
    <w:p w14:paraId="1CF74C1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③由投标人或其推选的代表检查投标文件的密封情况；</w:t>
      </w:r>
    </w:p>
    <w:p w14:paraId="088DC1DB">
      <w:pPr>
        <w:keepNext w:val="0"/>
        <w:keepLines w:val="0"/>
        <w:pageBreakBefore w:val="0"/>
        <w:widowControl w:val="0"/>
        <w:kinsoku/>
        <w:wordWrap/>
        <w:overflowPunct/>
        <w:topLinePunct w:val="0"/>
        <w:autoSpaceDE/>
        <w:autoSpaceDN/>
        <w:bidi w:val="0"/>
        <w:spacing w:line="510" w:lineRule="exact"/>
        <w:ind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④经确认无误后，有关工作人员当众拆封，宣读投标人名称和投标文件的主要内容；</w:t>
      </w:r>
    </w:p>
    <w:p w14:paraId="18B46DB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⑤经投标文件评审后，</w:t>
      </w:r>
      <w:r>
        <w:rPr>
          <w:rFonts w:hint="eastAsia" w:ascii="宋体" w:hAnsi="宋体" w:eastAsia="宋体" w:cs="宋体"/>
          <w:color w:val="auto"/>
          <w:sz w:val="21"/>
          <w:szCs w:val="21"/>
          <w:highlight w:val="none"/>
          <w:lang w:val="en-US" w:eastAsia="zh-CN"/>
        </w:rPr>
        <w:t>确定</w:t>
      </w:r>
      <w:r>
        <w:rPr>
          <w:rFonts w:hint="eastAsia" w:ascii="宋体" w:hAnsi="宋体" w:eastAsia="宋体" w:cs="宋体"/>
          <w:color w:val="auto"/>
          <w:sz w:val="21"/>
          <w:szCs w:val="21"/>
          <w:highlight w:val="none"/>
        </w:rPr>
        <w:t>中标候选人</w:t>
      </w:r>
      <w:r>
        <w:rPr>
          <w:rFonts w:hint="eastAsia" w:ascii="宋体" w:hAnsi="宋体" w:eastAsia="宋体" w:cs="宋体"/>
          <w:color w:val="auto"/>
          <w:sz w:val="21"/>
          <w:szCs w:val="21"/>
          <w:highlight w:val="none"/>
          <w:lang w:val="en-US" w:eastAsia="zh-CN"/>
        </w:rPr>
        <w:t>排序</w:t>
      </w:r>
      <w:r>
        <w:rPr>
          <w:rFonts w:hint="eastAsia" w:ascii="宋体" w:hAnsi="宋体" w:eastAsia="宋体" w:cs="宋体"/>
          <w:color w:val="auto"/>
          <w:sz w:val="21"/>
          <w:szCs w:val="21"/>
          <w:highlight w:val="none"/>
        </w:rPr>
        <w:t>；</w:t>
      </w:r>
    </w:p>
    <w:p w14:paraId="0FDF89B2">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对开标过程进行记录，并存档备查。</w:t>
      </w:r>
    </w:p>
    <w:p w14:paraId="55BFD51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   评标</w:t>
      </w:r>
    </w:p>
    <w:p w14:paraId="07723ECF">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.1  评标办法</w:t>
      </w:r>
    </w:p>
    <w:p w14:paraId="05D68E5F">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.1.1评标办法按招标文件的规定执行。</w:t>
      </w:r>
    </w:p>
    <w:p w14:paraId="06B7E69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  否决投标情况</w:t>
      </w:r>
    </w:p>
    <w:p w14:paraId="3A79FB7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.1  投标文件出现下列情形之一的，应当否决其投标：</w:t>
      </w:r>
    </w:p>
    <w:p w14:paraId="4C3CEB78">
      <w:pPr>
        <w:keepNext w:val="0"/>
        <w:keepLines w:val="0"/>
        <w:pageBreakBefore w:val="0"/>
        <w:widowControl w:val="0"/>
        <w:kinsoku/>
        <w:wordWrap/>
        <w:overflowPunct/>
        <w:topLinePunct w:val="0"/>
        <w:autoSpaceDE/>
        <w:autoSpaceDN/>
        <w:bidi w:val="0"/>
        <w:adjustRightInd/>
        <w:snapToGrid/>
        <w:spacing w:line="51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rPr>
        <w:t>逾期送达的或未送达指定地点的；</w:t>
      </w:r>
    </w:p>
    <w:p w14:paraId="3092646A">
      <w:pPr>
        <w:keepNext w:val="0"/>
        <w:keepLines w:val="0"/>
        <w:pageBreakBefore w:val="0"/>
        <w:widowControl w:val="0"/>
        <w:kinsoku/>
        <w:wordWrap/>
        <w:overflowPunct/>
        <w:topLinePunct w:val="0"/>
        <w:autoSpaceDE/>
        <w:autoSpaceDN/>
        <w:bidi w:val="0"/>
        <w:adjustRightInd/>
        <w:snapToGrid/>
        <w:spacing w:line="51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②</w:t>
      </w:r>
      <w:r>
        <w:rPr>
          <w:rFonts w:hint="eastAsia" w:ascii="宋体" w:hAnsi="宋体" w:eastAsia="宋体" w:cs="宋体"/>
          <w:color w:val="auto"/>
          <w:sz w:val="21"/>
          <w:szCs w:val="21"/>
          <w:highlight w:val="none"/>
        </w:rPr>
        <w:t>无单位盖章、无法定代表人或法定代表人授权的代理人签字或盖章的；</w:t>
      </w:r>
    </w:p>
    <w:p w14:paraId="43AEE539">
      <w:pPr>
        <w:keepNext w:val="0"/>
        <w:keepLines w:val="0"/>
        <w:pageBreakBefore w:val="0"/>
        <w:widowControl w:val="0"/>
        <w:kinsoku/>
        <w:wordWrap/>
        <w:overflowPunct/>
        <w:topLinePunct w:val="0"/>
        <w:autoSpaceDE/>
        <w:autoSpaceDN/>
        <w:bidi w:val="0"/>
        <w:adjustRightInd/>
        <w:snapToGrid/>
        <w:spacing w:line="510" w:lineRule="exact"/>
        <w:ind w:firstLine="525" w:firstLineChars="25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w:t>
      </w:r>
      <w:r>
        <w:rPr>
          <w:rFonts w:hint="eastAsia" w:ascii="宋体" w:hAnsi="宋体" w:eastAsia="宋体" w:cs="宋体"/>
          <w:color w:val="auto"/>
          <w:sz w:val="21"/>
          <w:szCs w:val="21"/>
          <w:highlight w:val="none"/>
        </w:rPr>
        <w:t>未按规定的格式填写，内容不全或关键字迹模糊、无法辨认的</w:t>
      </w:r>
      <w:r>
        <w:rPr>
          <w:rFonts w:hint="eastAsia" w:ascii="宋体" w:hAnsi="宋体" w:eastAsia="宋体" w:cs="宋体"/>
          <w:color w:val="auto"/>
          <w:sz w:val="21"/>
          <w:szCs w:val="21"/>
          <w:highlight w:val="none"/>
          <w:lang w:eastAsia="zh-CN"/>
        </w:rPr>
        <w:t>；</w:t>
      </w:r>
    </w:p>
    <w:p w14:paraId="6EF5DEE5">
      <w:pPr>
        <w:keepNext w:val="0"/>
        <w:keepLines w:val="0"/>
        <w:pageBreakBefore w:val="0"/>
        <w:widowControl w:val="0"/>
        <w:kinsoku/>
        <w:wordWrap/>
        <w:overflowPunct/>
        <w:topLinePunct w:val="0"/>
        <w:autoSpaceDE/>
        <w:autoSpaceDN/>
        <w:bidi w:val="0"/>
        <w:adjustRightInd/>
        <w:snapToGrid/>
        <w:spacing w:line="51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④</w:t>
      </w:r>
      <w:r>
        <w:rPr>
          <w:rFonts w:hint="eastAsia" w:ascii="宋体" w:hAnsi="宋体" w:eastAsia="宋体" w:cs="宋体"/>
          <w:color w:val="auto"/>
          <w:sz w:val="21"/>
          <w:szCs w:val="21"/>
          <w:highlight w:val="none"/>
        </w:rPr>
        <w:t>工期或质量不符合招标文件要求的；</w:t>
      </w:r>
    </w:p>
    <w:p w14:paraId="5B138B57">
      <w:pPr>
        <w:keepNext w:val="0"/>
        <w:keepLines w:val="0"/>
        <w:pageBreakBefore w:val="0"/>
        <w:widowControl w:val="0"/>
        <w:kinsoku/>
        <w:wordWrap/>
        <w:overflowPunct/>
        <w:topLinePunct w:val="0"/>
        <w:autoSpaceDE/>
        <w:autoSpaceDN/>
        <w:bidi w:val="0"/>
        <w:adjustRightInd/>
        <w:snapToGrid/>
        <w:spacing w:line="51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⑤</w:t>
      </w:r>
      <w:r>
        <w:rPr>
          <w:rFonts w:hint="eastAsia" w:ascii="宋体" w:hAnsi="宋体" w:eastAsia="宋体" w:cs="宋体"/>
          <w:color w:val="auto"/>
          <w:szCs w:val="21"/>
          <w:highlight w:val="none"/>
        </w:rPr>
        <w:t>投标报价高于（不含等于）招标人发布的投标最高限价的</w:t>
      </w:r>
      <w:r>
        <w:rPr>
          <w:rFonts w:hint="eastAsia" w:ascii="宋体" w:hAnsi="宋体" w:eastAsia="宋体" w:cs="宋体"/>
          <w:color w:val="auto"/>
          <w:sz w:val="21"/>
          <w:szCs w:val="21"/>
          <w:highlight w:val="none"/>
        </w:rPr>
        <w:t>；</w:t>
      </w:r>
    </w:p>
    <w:p w14:paraId="4107535A">
      <w:pPr>
        <w:keepNext w:val="0"/>
        <w:keepLines w:val="0"/>
        <w:pageBreakBefore w:val="0"/>
        <w:widowControl w:val="0"/>
        <w:kinsoku/>
        <w:wordWrap/>
        <w:overflowPunct/>
        <w:topLinePunct w:val="0"/>
        <w:autoSpaceDE/>
        <w:autoSpaceDN/>
        <w:bidi w:val="0"/>
        <w:adjustRightInd/>
        <w:snapToGrid/>
        <w:spacing w:line="510" w:lineRule="exact"/>
        <w:ind w:firstLine="525" w:firstLineChars="25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w:t>
      </w:r>
      <w:r>
        <w:rPr>
          <w:rFonts w:hint="eastAsia" w:ascii="宋体" w:hAnsi="宋体" w:eastAsia="宋体" w:cs="宋体"/>
          <w:color w:val="auto"/>
          <w:sz w:val="21"/>
          <w:szCs w:val="21"/>
          <w:highlight w:val="none"/>
        </w:rPr>
        <w:t>法律、法规、规章和招标文件规定的其他否决投标情形</w:t>
      </w:r>
      <w:r>
        <w:rPr>
          <w:rFonts w:hint="eastAsia" w:ascii="宋体" w:hAnsi="宋体" w:cs="宋体"/>
          <w:color w:val="auto"/>
          <w:szCs w:val="21"/>
          <w:highlight w:val="none"/>
          <w:lang w:eastAsia="zh-CN"/>
        </w:rPr>
        <w:t>；</w:t>
      </w:r>
    </w:p>
    <w:p w14:paraId="71AAA2A1">
      <w:pPr>
        <w:keepNext w:val="0"/>
        <w:keepLines w:val="0"/>
        <w:pageBreakBefore w:val="0"/>
        <w:widowControl w:val="0"/>
        <w:kinsoku/>
        <w:wordWrap/>
        <w:overflowPunct/>
        <w:topLinePunct w:val="0"/>
        <w:autoSpaceDE/>
        <w:autoSpaceDN/>
        <w:bidi w:val="0"/>
        <w:spacing w:line="51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.定标</w:t>
      </w:r>
    </w:p>
    <w:p w14:paraId="58614CC5">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 xml:space="preserve">.1  </w:t>
      </w:r>
      <w:r>
        <w:rPr>
          <w:rFonts w:hint="eastAsia" w:ascii="宋体" w:hAnsi="Times New Roman" w:eastAsia="宋体" w:cs="Times New Roman"/>
          <w:color w:val="auto"/>
          <w:spacing w:val="0"/>
          <w:sz w:val="21"/>
          <w:szCs w:val="21"/>
          <w:highlight w:val="none"/>
          <w:lang w:val="en-US" w:eastAsia="zh-CN"/>
        </w:rPr>
        <w:t>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631CBC06">
      <w:pPr>
        <w:keepNext w:val="0"/>
        <w:keepLines w:val="0"/>
        <w:pageBreakBefore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bookmarkStart w:id="29" w:name="_GoBack"/>
      <w:r>
        <w:rPr>
          <w:rFonts w:hint="eastAsia" w:ascii="宋体" w:hAnsi="宋体" w:eastAsia="宋体" w:cs="宋体"/>
          <w:color w:val="000000" w:themeColor="text1"/>
          <w:szCs w:val="21"/>
          <w:highlight w:val="none"/>
          <w:lang w:val="en-US" w:eastAsia="zh-CN"/>
          <w14:textFill>
            <w14:solidFill>
              <w14:schemeClr w14:val="tx1"/>
            </w14:solidFill>
          </w14:textFill>
        </w:rPr>
        <w:t>29.变更交易方式</w:t>
      </w:r>
    </w:p>
    <w:p w14:paraId="73014CFE">
      <w:pPr>
        <w:keepNext w:val="0"/>
        <w:keepLines w:val="0"/>
        <w:pageBreakBefore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29.1投标截止时间结束后提交投标文件的投标人少于3家或者符合专业条件的投标人或对招标文件作出实质性响应的投标人不足3家的，招标人可采取竞争性谈判方式进行项目发包。</w:t>
      </w:r>
    </w:p>
    <w:p w14:paraId="4DCA1A17">
      <w:pPr>
        <w:keepNext w:val="0"/>
        <w:keepLines w:val="0"/>
        <w:pageBreakBefore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29.2参加竞争性谈判的投标人必须符合下列条件：①、投标资格符合招标文件要求；②、对招标文件作出实质性响应。</w:t>
      </w:r>
    </w:p>
    <w:bookmarkEnd w:id="29"/>
    <w:p w14:paraId="051FD355">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bookmarkStart w:id="7" w:name="_Toc21491"/>
      <w:r>
        <w:rPr>
          <w:rFonts w:hint="eastAsia" w:ascii="宋体" w:hAnsi="宋体" w:eastAsia="宋体" w:cs="宋体"/>
          <w:color w:val="auto"/>
          <w:sz w:val="28"/>
          <w:szCs w:val="28"/>
          <w:highlight w:val="none"/>
        </w:rPr>
        <w:t>六、合同的授予</w:t>
      </w:r>
      <w:bookmarkEnd w:id="7"/>
    </w:p>
    <w:p w14:paraId="6EF10F7E">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   合同授予标准</w:t>
      </w:r>
    </w:p>
    <w:p w14:paraId="0DB458F6">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  本招标工程的合同授予按本须知第3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条规定所确定的中标人。</w:t>
      </w:r>
    </w:p>
    <w:p w14:paraId="279204A8">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合同协议书的签订</w:t>
      </w:r>
    </w:p>
    <w:p w14:paraId="1092DA8C">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  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22887F73">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0.2 </w:t>
      </w:r>
      <w:r>
        <w:rPr>
          <w:rFonts w:hint="eastAsia" w:ascii="宋体" w:hAnsi="宋体" w:eastAsia="宋体" w:cs="宋体"/>
          <w:color w:val="auto"/>
          <w:sz w:val="21"/>
          <w:szCs w:val="21"/>
          <w:highlight w:val="none"/>
        </w:rPr>
        <w:t xml:space="preserve"> 中标人如不按本投标须知第3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1BC5CB97">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中标人应当按照合同约定履行义务，完成中标项目的实施，不得将中标项目转让（转包）给他人。</w:t>
      </w:r>
      <w:bookmarkStart w:id="8" w:name="_Toc3222"/>
      <w:bookmarkStart w:id="9" w:name="_Toc12737"/>
      <w:bookmarkStart w:id="10" w:name="_Toc31589_WPSOffice_Level1"/>
    </w:p>
    <w:p w14:paraId="40DD10A0">
      <w:pPr>
        <w:pStyle w:val="6"/>
        <w:spacing w:before="0" w:after="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第二章  评标办法</w:t>
      </w:r>
    </w:p>
    <w:p w14:paraId="36B85A76">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4"/>
          <w:szCs w:val="24"/>
          <w:highlight w:val="none"/>
          <w:lang w:val="en-US"/>
        </w:rPr>
      </w:pPr>
      <w:bookmarkStart w:id="11" w:name="_Toc9679_WPSOffice_Level2"/>
      <w:r>
        <w:rPr>
          <w:rFonts w:hint="eastAsia" w:ascii="宋体" w:hAnsi="宋体" w:eastAsia="宋体" w:cs="宋体"/>
          <w:b/>
          <w:bCs w:val="0"/>
          <w:color w:val="000000"/>
          <w:kern w:val="0"/>
          <w:sz w:val="24"/>
          <w:szCs w:val="24"/>
          <w:highlight w:val="none"/>
          <w:u w:color="000000"/>
          <w:lang w:val="en-US" w:eastAsia="zh-CN" w:bidi="ar"/>
        </w:rPr>
        <w:t>一</w:t>
      </w:r>
      <w:bookmarkEnd w:id="11"/>
      <w:r>
        <w:rPr>
          <w:rFonts w:hint="eastAsia" w:ascii="宋体" w:hAnsi="宋体" w:eastAsia="宋体" w:cs="宋体"/>
          <w:b/>
          <w:bCs w:val="0"/>
          <w:color w:val="000000"/>
          <w:kern w:val="0"/>
          <w:sz w:val="24"/>
          <w:szCs w:val="24"/>
          <w:highlight w:val="none"/>
          <w:u w:color="000000"/>
          <w:lang w:val="en-US" w:eastAsia="zh-CN" w:bidi="ar"/>
        </w:rPr>
        <w:t>、总则</w:t>
      </w:r>
    </w:p>
    <w:p w14:paraId="4BA7D109">
      <w:pPr>
        <w:spacing w:line="440" w:lineRule="exact"/>
        <w:ind w:firstLine="422" w:firstLineChars="200"/>
        <w:jc w:val="left"/>
        <w:rPr>
          <w:rFonts w:hint="eastAsia" w:ascii="黑体" w:eastAsia="黑体"/>
          <w:b/>
          <w:color w:val="auto"/>
          <w:szCs w:val="21"/>
          <w:highlight w:val="none"/>
        </w:rPr>
      </w:pPr>
      <w:bookmarkStart w:id="12" w:name="_Toc14651"/>
      <w:bookmarkEnd w:id="12"/>
      <w:bookmarkStart w:id="13" w:name="_Toc10907_WPSOffice_Level3"/>
      <w:r>
        <w:rPr>
          <w:rFonts w:hint="eastAsia" w:ascii="黑体" w:eastAsia="黑体"/>
          <w:b/>
          <w:color w:val="auto"/>
          <w:szCs w:val="21"/>
          <w:highlight w:val="none"/>
        </w:rPr>
        <w:t>1.本次评标采用综合评</w:t>
      </w:r>
      <w:r>
        <w:rPr>
          <w:rFonts w:hint="eastAsia" w:ascii="黑体" w:eastAsia="黑体"/>
          <w:b/>
          <w:color w:val="auto"/>
          <w:szCs w:val="21"/>
          <w:highlight w:val="none"/>
          <w:lang w:val="en-US" w:eastAsia="zh-CN"/>
        </w:rPr>
        <w:t>估</w:t>
      </w:r>
      <w:r>
        <w:rPr>
          <w:rFonts w:hint="eastAsia" w:ascii="黑体" w:eastAsia="黑体"/>
          <w:b/>
          <w:color w:val="auto"/>
          <w:szCs w:val="21"/>
          <w:highlight w:val="none"/>
        </w:rPr>
        <w:t>法</w:t>
      </w:r>
      <w:bookmarkEnd w:id="13"/>
    </w:p>
    <w:p w14:paraId="3D498B70">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本次评标采用综合评估法。评标委员会对满足招标文件实质性要求的投标文件，按照本章规定的评分标准进行打分，并按总得分由高到低顺序推荐中标候选人应当不超过3名</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本项目推荐3名中标候选人</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，并标明排序，但投标报价低于其成本的除外。如总得分相等，以投标报价低的优先，投标报价仍相等由招标人随机抽取确定排名。</w:t>
      </w:r>
    </w:p>
    <w:p w14:paraId="15998096">
      <w:pPr>
        <w:spacing w:line="440" w:lineRule="exact"/>
        <w:ind w:firstLine="422" w:firstLineChars="200"/>
        <w:jc w:val="left"/>
        <w:rPr>
          <w:rFonts w:hint="eastAsia" w:ascii="黑体" w:eastAsia="黑体"/>
          <w:b/>
          <w:color w:val="auto"/>
          <w:szCs w:val="21"/>
          <w:highlight w:val="none"/>
          <w:lang w:val="en-US"/>
        </w:rPr>
      </w:pPr>
      <w:r>
        <w:rPr>
          <w:rFonts w:hint="eastAsia" w:ascii="黑体" w:eastAsia="黑体"/>
          <w:b/>
          <w:color w:val="auto"/>
          <w:szCs w:val="21"/>
          <w:highlight w:val="none"/>
          <w:lang w:val="en-US" w:eastAsia="zh-CN"/>
        </w:rPr>
        <w:t>2．评标程序</w:t>
      </w:r>
    </w:p>
    <w:p w14:paraId="7729AD69">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2.1投标文件的初审</w:t>
      </w:r>
    </w:p>
    <w:p w14:paraId="00F5BB31">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2.1.1资格性检查。依据法律法规和招标文件的规定，对投标文件中的资格证明等进行审查，以确定投标人是否具备投标资格。 </w:t>
      </w:r>
    </w:p>
    <w:p w14:paraId="5FD89904">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2.1.2符合性检查。依据招标文件的规定，从投标文件的有效性、完整性和对招标文件的响应程度进行审查，以确定投标人是否对招标文件的实质性要求作出响应。</w:t>
      </w:r>
    </w:p>
    <w:p w14:paraId="22D8FBF9">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2.2投标文件的澄清</w:t>
      </w:r>
    </w:p>
    <w:p w14:paraId="1A4C643B">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2.2.1在评标过程中，评标委员会认为需要，在监督人员在场的情况下，可要求投标单位对投标文件中的有关问题进行澄清或提供补充说明及有关资料，投标单位应做出书面答复。书面答复中不得变更价格、工期、质量等实质性内容。</w:t>
      </w:r>
    </w:p>
    <w:p w14:paraId="77BDD6D6">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EFE714A">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2.2.3 招标人不接受投标单位主动提出的澄清。</w:t>
      </w:r>
    </w:p>
    <w:p w14:paraId="739C4ECB">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2.3比较与评价</w:t>
      </w:r>
    </w:p>
    <w:p w14:paraId="3D20C9E5">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2．3.1按招标文件中规定的评标方法和标准，对资格性检查和符合性检查合格的投标文件进行资信评估，综合比较与评价。 </w:t>
      </w:r>
    </w:p>
    <w:p w14:paraId="6B783E23">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2.4推荐中标候选人名单</w:t>
      </w:r>
    </w:p>
    <w:p w14:paraId="291509E4">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2.4.1中标候选人数量应当根据采购需要确定，但必须按顺序排列中标候选人。</w:t>
      </w:r>
    </w:p>
    <w:p w14:paraId="1B1B36AF">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2.5在投标文件的审查、澄清、评价和比较以及授予合同过程中，投标人对招标人和评标委员会成员施加影响的任何行为，都将导致取消其中标资格。</w:t>
      </w:r>
    </w:p>
    <w:p w14:paraId="6042810C">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000000"/>
          <w:kern w:val="0"/>
          <w:sz w:val="24"/>
          <w:szCs w:val="24"/>
          <w:highlight w:val="none"/>
          <w:u w:color="000000"/>
          <w:lang w:val="en-US" w:eastAsia="zh-CN" w:bidi="ar"/>
        </w:rPr>
      </w:pPr>
    </w:p>
    <w:p w14:paraId="19DE6252">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000000"/>
          <w:kern w:val="0"/>
          <w:sz w:val="24"/>
          <w:szCs w:val="24"/>
          <w:highlight w:val="none"/>
          <w:u w:color="000000"/>
          <w:lang w:val="en-US" w:eastAsia="zh-CN" w:bidi="ar"/>
        </w:rPr>
      </w:pPr>
    </w:p>
    <w:p w14:paraId="41130E14">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二、投标文件审查</w:t>
      </w:r>
    </w:p>
    <w:p w14:paraId="32B06C6E">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bookmarkStart w:id="14" w:name="_Toc9092_WPSOffice_Level3"/>
      <w:bookmarkEnd w:id="14"/>
      <w:r>
        <w:rPr>
          <w:rFonts w:hint="eastAsia" w:ascii="黑体" w:hAnsi="宋体" w:eastAsia="黑体" w:cs="宋体"/>
          <w:b/>
          <w:bCs w:val="0"/>
          <w:color w:val="000000"/>
          <w:kern w:val="0"/>
          <w:sz w:val="21"/>
          <w:szCs w:val="21"/>
          <w:highlight w:val="none"/>
          <w:u w:color="000000"/>
          <w:lang w:val="en-US" w:eastAsia="zh-CN" w:bidi="ar"/>
        </w:rPr>
        <w:t>3.资格性审查</w:t>
      </w:r>
    </w:p>
    <w:p w14:paraId="1B560BD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3.1评审细则</w:t>
      </w:r>
    </w:p>
    <w:tbl>
      <w:tblPr>
        <w:tblStyle w:val="47"/>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3894"/>
      </w:tblGrid>
      <w:tr w14:paraId="09AA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2A18B16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黑体" w:hAnsi="宋体" w:eastAsia="黑体" w:cs="黑体"/>
                <w:b/>
                <w:bCs/>
                <w:color w:val="000000"/>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B926C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470637D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评审标准</w:t>
            </w:r>
          </w:p>
        </w:tc>
      </w:tr>
      <w:tr w14:paraId="6E07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4" w:hRule="atLeast"/>
        </w:trPr>
        <w:tc>
          <w:tcPr>
            <w:tcW w:w="725" w:type="dxa"/>
            <w:vMerge w:val="restart"/>
            <w:tcBorders>
              <w:top w:val="single" w:color="auto" w:sz="4" w:space="0"/>
              <w:left w:val="single" w:color="auto" w:sz="4" w:space="0"/>
              <w:right w:val="single" w:color="auto" w:sz="4" w:space="0"/>
            </w:tcBorders>
            <w:shd w:val="clear" w:color="auto" w:fill="auto"/>
            <w:vAlign w:val="center"/>
          </w:tcPr>
          <w:p w14:paraId="73A352F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235" w:type="dxa"/>
            <w:vMerge w:val="restart"/>
            <w:tcBorders>
              <w:top w:val="single" w:color="auto" w:sz="4" w:space="0"/>
              <w:left w:val="single" w:color="auto" w:sz="4" w:space="0"/>
              <w:right w:val="single" w:color="auto" w:sz="4" w:space="0"/>
            </w:tcBorders>
            <w:shd w:val="clear" w:color="auto" w:fill="auto"/>
            <w:vAlign w:val="center"/>
          </w:tcPr>
          <w:p w14:paraId="22EF17BC">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重要要求</w:t>
            </w:r>
          </w:p>
        </w:tc>
        <w:tc>
          <w:tcPr>
            <w:tcW w:w="3009" w:type="dxa"/>
            <w:tcBorders>
              <w:top w:val="single" w:color="auto" w:sz="4" w:space="0"/>
              <w:left w:val="single" w:color="auto" w:sz="4" w:space="0"/>
              <w:right w:val="single" w:color="auto" w:sz="4" w:space="0"/>
            </w:tcBorders>
            <w:shd w:val="clear" w:color="auto" w:fill="auto"/>
            <w:vAlign w:val="center"/>
          </w:tcPr>
          <w:p w14:paraId="6EFDEB45">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w:t>
            </w:r>
            <w:r>
              <w:rPr>
                <w:rFonts w:hint="default" w:ascii="Times New Roman" w:hAnsi="Times New Roman" w:eastAsia="宋体" w:cs="Times New Roman"/>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000000"/>
                <w:kern w:val="2"/>
                <w:sz w:val="21"/>
                <w:szCs w:val="21"/>
                <w:highlight w:val="none"/>
                <w:u w:color="000000"/>
                <w:lang w:val="en-US" w:eastAsia="zh-CN" w:bidi="ar"/>
              </w:rPr>
              <w:t>(</w:t>
            </w:r>
            <w:r>
              <w:rPr>
                <w:rFonts w:hint="eastAsia" w:ascii="宋体" w:hAnsi="宋体" w:eastAsia="宋体" w:cs="宋体"/>
                <w:color w:val="000000"/>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000000"/>
                <w:kern w:val="2"/>
                <w:sz w:val="21"/>
                <w:szCs w:val="21"/>
                <w:highlight w:val="none"/>
                <w:u w:color="000000"/>
                <w:lang w:val="en-US" w:eastAsia="zh-CN" w:bidi="ar"/>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23D26723">
            <w:pPr>
              <w:keepNext w:val="0"/>
              <w:keepLines w:val="0"/>
              <w:widowControl/>
              <w:suppressLineNumbers w:val="0"/>
              <w:spacing w:before="0" w:beforeAutospacing="0" w:after="0" w:afterAutospacing="0" w:line="320" w:lineRule="exact"/>
              <w:ind w:left="0" w:leftChars="0" w:right="0" w:rightChars="0"/>
              <w:jc w:val="left"/>
              <w:rPr>
                <w:rFonts w:hint="eastAsia" w:ascii="宋体" w:hAnsi="宋体" w:eastAsia="宋体" w:cs="宋体"/>
                <w:kern w:val="2"/>
                <w:highlight w:val="none"/>
                <w:lang w:val="en-US"/>
              </w:rPr>
            </w:pPr>
            <w:r>
              <w:rPr>
                <w:rFonts w:hint="eastAsia" w:ascii="宋体" w:hAnsi="宋体" w:eastAsia="宋体" w:cs="宋体"/>
                <w:b/>
                <w:bCs w:val="0"/>
                <w:color w:val="000000"/>
                <w:kern w:val="2"/>
                <w:sz w:val="21"/>
                <w:szCs w:val="21"/>
                <w:highlight w:val="none"/>
                <w:u w:color="000000"/>
                <w:lang w:val="en-US" w:eastAsia="zh-CN" w:bidi="ar"/>
              </w:rPr>
              <w:t xml:space="preserve"> </w:t>
            </w:r>
            <w:r>
              <w:rPr>
                <w:rFonts w:hint="eastAsia" w:ascii="宋体" w:hAnsi="宋体" w:eastAsia="宋体" w:cs="宋体"/>
                <w:color w:val="000000"/>
                <w:kern w:val="2"/>
                <w:sz w:val="21"/>
                <w:szCs w:val="21"/>
                <w:highlight w:val="none"/>
                <w:u w:color="000000"/>
                <w:lang w:val="en-US" w:eastAsia="zh-CN" w:bidi="ar"/>
              </w:rPr>
              <w:t>法定代表人身份证明和有效身份原件（或授权委托书及委托代理人有效身份证原件）</w:t>
            </w:r>
          </w:p>
        </w:tc>
      </w:tr>
      <w:tr w14:paraId="0F86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14:paraId="0253F3A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14:paraId="41E38A90">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6790D17C">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（2）具有独立承担民事责任的能力</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3F58B41F">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b/>
                <w:bCs w:val="0"/>
                <w:color w:val="000000"/>
                <w:kern w:val="2"/>
                <w:sz w:val="21"/>
                <w:szCs w:val="21"/>
                <w:highlight w:val="none"/>
                <w:u w:color="000000"/>
                <w:lang w:val="en-US" w:eastAsia="zh-CN" w:bidi="ar"/>
              </w:rPr>
            </w:pPr>
            <w:r>
              <w:rPr>
                <w:rFonts w:hint="eastAsia" w:ascii="宋体" w:hAnsi="宋体" w:eastAsia="宋体" w:cs="宋体"/>
                <w:b/>
                <w:bCs w:val="0"/>
                <w:color w:val="000000"/>
                <w:kern w:val="2"/>
                <w:sz w:val="21"/>
                <w:szCs w:val="21"/>
                <w:highlight w:val="none"/>
                <w:u w:color="000000"/>
                <w:lang w:val="en-US" w:eastAsia="zh-CN" w:bidi="ar"/>
              </w:rPr>
              <w:t>评审核验标书中的下列证书、证明材料：</w:t>
            </w:r>
          </w:p>
          <w:p w14:paraId="61E4B9A6">
            <w:pPr>
              <w:keepNext w:val="0"/>
              <w:keepLines w:val="0"/>
              <w:widowControl/>
              <w:suppressLineNumbers w:val="0"/>
              <w:spacing w:before="0" w:beforeAutospacing="0" w:after="0" w:afterAutospacing="0" w:line="320" w:lineRule="exact"/>
              <w:ind w:left="0" w:leftChars="0" w:right="0" w:rightChars="0"/>
              <w:jc w:val="both"/>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投标人有效的营业执照、税务登记证、组织机构码证（或“三证合一证书”）原件或复印件加盖投标人公章</w:t>
            </w:r>
          </w:p>
        </w:tc>
      </w:tr>
      <w:tr w14:paraId="286A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725" w:type="dxa"/>
            <w:vMerge w:val="continue"/>
            <w:tcBorders>
              <w:left w:val="single" w:color="auto" w:sz="4" w:space="0"/>
              <w:right w:val="single" w:color="auto" w:sz="4" w:space="0"/>
            </w:tcBorders>
            <w:shd w:val="clear" w:color="auto" w:fill="auto"/>
            <w:vAlign w:val="center"/>
          </w:tcPr>
          <w:p w14:paraId="04E13ECB">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65F5B0FF">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55B082BD">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kern w:val="2"/>
                <w:highlight w:val="none"/>
                <w:lang w:val="en-US"/>
              </w:rPr>
            </w:pPr>
            <w:r>
              <w:rPr>
                <w:rFonts w:hint="eastAsia" w:ascii="宋体" w:hAnsi="宋体"/>
                <w:color w:val="000000"/>
                <w:szCs w:val="21"/>
                <w:highlight w:val="none"/>
                <w:lang w:val="en-US" w:eastAsia="zh-CN"/>
              </w:rPr>
              <w:t>（3）</w:t>
            </w:r>
            <w:r>
              <w:rPr>
                <w:rFonts w:hint="eastAsia" w:ascii="宋体" w:hAnsi="宋体" w:eastAsia="宋体" w:cs="宋体"/>
                <w:color w:val="000000"/>
                <w:kern w:val="2"/>
                <w:sz w:val="21"/>
                <w:szCs w:val="21"/>
                <w:highlight w:val="none"/>
                <w:u w:color="000000"/>
                <w:lang w:val="en-US" w:eastAsia="zh-CN" w:bidi="ar"/>
              </w:rPr>
              <w:t>诚信投标承诺书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83A9DFD">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b/>
                <w:bCs w:val="0"/>
                <w:color w:val="000000"/>
                <w:kern w:val="2"/>
                <w:sz w:val="21"/>
                <w:szCs w:val="21"/>
                <w:highlight w:val="none"/>
                <w:u w:color="000000"/>
                <w:lang w:val="en-US" w:eastAsia="zh-CN" w:bidi="ar"/>
              </w:rPr>
              <w:t>评审核验标书中的下述文件：</w:t>
            </w:r>
          </w:p>
          <w:p w14:paraId="41927A23">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 xml:space="preserve">诚信投标承诺书，核验标书 </w:t>
            </w:r>
          </w:p>
        </w:tc>
      </w:tr>
      <w:tr w14:paraId="13D3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25" w:type="dxa"/>
            <w:vMerge w:val="continue"/>
            <w:tcBorders>
              <w:left w:val="single" w:color="auto" w:sz="4" w:space="0"/>
              <w:right w:val="single" w:color="auto" w:sz="4" w:space="0"/>
            </w:tcBorders>
            <w:shd w:val="clear" w:color="auto" w:fill="auto"/>
            <w:vAlign w:val="center"/>
          </w:tcPr>
          <w:p w14:paraId="2EDE2527">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4DD71ED9">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197D76D6">
            <w:pPr>
              <w:keepNext w:val="0"/>
              <w:keepLines w:val="0"/>
              <w:suppressLineNumbers w:val="0"/>
              <w:spacing w:before="0" w:beforeAutospacing="0" w:after="0" w:afterAutospacing="0"/>
              <w:ind w:left="0" w:right="0"/>
              <w:rPr>
                <w:rFonts w:hint="eastAsia" w:ascii="宋体" w:hAnsi="宋体" w:eastAsia="宋体" w:cs="宋体"/>
                <w:color w:val="000000"/>
                <w:kern w:val="2"/>
                <w:sz w:val="21"/>
                <w:szCs w:val="21"/>
                <w:highlight w:val="none"/>
                <w:u w:color="000000"/>
                <w:lang w:val="en-US" w:eastAsia="zh-CN" w:bidi="ar"/>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ascii="宋体" w:hAnsi="宋体"/>
                <w:color w:val="000000"/>
                <w:szCs w:val="21"/>
                <w:highlight w:val="none"/>
                <w:lang w:val="en-US" w:eastAsia="zh-CN"/>
              </w:rPr>
              <w:t>服务承诺书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4B5853B9">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b/>
                <w:bCs w:val="0"/>
                <w:color w:val="000000"/>
                <w:kern w:val="2"/>
                <w:sz w:val="21"/>
                <w:szCs w:val="21"/>
                <w:highlight w:val="none"/>
                <w:u w:color="000000"/>
                <w:lang w:val="en-US" w:eastAsia="zh-CN" w:bidi="ar"/>
              </w:rPr>
              <w:t>评审核验标书中的下述文件：</w:t>
            </w:r>
          </w:p>
          <w:p w14:paraId="1E6015F7">
            <w:pPr>
              <w:keepNext w:val="0"/>
              <w:keepLines w:val="0"/>
              <w:suppressLineNumbers w:val="0"/>
              <w:spacing w:before="0" w:beforeAutospacing="0" w:after="0" w:afterAutospacing="0" w:line="360" w:lineRule="exact"/>
              <w:ind w:left="0" w:right="0"/>
              <w:rPr>
                <w:rFonts w:hint="eastAsia" w:ascii="宋体" w:hAnsi="宋体" w:eastAsia="宋体" w:cs="宋体"/>
                <w:color w:val="000000"/>
                <w:kern w:val="2"/>
                <w:sz w:val="21"/>
                <w:szCs w:val="21"/>
                <w:highlight w:val="none"/>
                <w:u w:color="000000"/>
                <w:lang w:val="en-US" w:eastAsia="zh-CN" w:bidi="ar"/>
              </w:rPr>
            </w:pPr>
            <w:r>
              <w:rPr>
                <w:rFonts w:hint="eastAsia" w:ascii="宋体" w:hAnsi="宋体"/>
                <w:color w:val="000000"/>
                <w:szCs w:val="21"/>
                <w:highlight w:val="none"/>
                <w:lang w:val="en-US" w:eastAsia="zh-CN"/>
              </w:rPr>
              <w:t>服务承诺书</w:t>
            </w:r>
            <w:r>
              <w:rPr>
                <w:rFonts w:hint="eastAsia" w:ascii="宋体" w:hAnsi="宋体" w:eastAsia="宋体" w:cs="宋体"/>
                <w:color w:val="000000"/>
                <w:kern w:val="2"/>
                <w:sz w:val="21"/>
                <w:szCs w:val="21"/>
                <w:highlight w:val="none"/>
                <w:u w:color="000000"/>
                <w:lang w:val="en-US" w:eastAsia="zh-CN" w:bidi="ar"/>
              </w:rPr>
              <w:t xml:space="preserve"> ，核验标书</w:t>
            </w:r>
          </w:p>
        </w:tc>
      </w:tr>
      <w:tr w14:paraId="4416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7" w:hRule="atLeast"/>
        </w:trPr>
        <w:tc>
          <w:tcPr>
            <w:tcW w:w="725" w:type="dxa"/>
            <w:vMerge w:val="continue"/>
            <w:tcBorders>
              <w:left w:val="single" w:color="auto" w:sz="4" w:space="0"/>
              <w:right w:val="single" w:color="auto" w:sz="4" w:space="0"/>
            </w:tcBorders>
            <w:shd w:val="clear" w:color="auto" w:fill="auto"/>
            <w:vAlign w:val="center"/>
          </w:tcPr>
          <w:p w14:paraId="4D5961BE">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54E34097">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693B3E45">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w:t>
            </w:r>
            <w:r>
              <w:rPr>
                <w:rFonts w:hint="default" w:ascii="宋体" w:hAnsi="宋体" w:eastAsia="宋体" w:cs="宋体"/>
                <w:color w:val="auto"/>
                <w:szCs w:val="21"/>
                <w:lang w:val="en-US" w:eastAsia="zh-CN"/>
              </w:rPr>
              <w:t>投标人承担过房地产市场合作项目</w:t>
            </w:r>
          </w:p>
          <w:p w14:paraId="7BD48008">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宋体" w:hAnsi="宋体" w:eastAsia="宋体" w:cs="宋体"/>
                <w:color w:val="auto"/>
                <w:szCs w:val="21"/>
                <w:lang w:val="en-US" w:eastAsia="zh-CN"/>
              </w:rPr>
            </w:pPr>
          </w:p>
          <w:p w14:paraId="2BFF9DCE">
            <w:pPr>
              <w:keepNext w:val="0"/>
              <w:keepLines w:val="0"/>
              <w:numPr>
                <w:ilvl w:val="0"/>
                <w:numId w:val="0"/>
              </w:numPr>
              <w:suppressLineNumbers w:val="0"/>
              <w:spacing w:before="0" w:beforeAutospacing="0" w:after="0" w:afterAutospacing="0"/>
              <w:ind w:right="0" w:rightChars="0"/>
              <w:rPr>
                <w:rFonts w:hint="default" w:ascii="宋体" w:hAnsi="宋体" w:eastAsiaTheme="minorEastAsia"/>
                <w:color w:val="000000"/>
                <w:szCs w:val="21"/>
                <w:highlight w:val="none"/>
                <w:lang w:val="en-US" w:eastAsia="zh-CN"/>
              </w:rPr>
            </w:pP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FA9F757">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b/>
                <w:bCs w:val="0"/>
                <w:color w:val="000000"/>
                <w:kern w:val="2"/>
                <w:sz w:val="21"/>
                <w:szCs w:val="21"/>
                <w:highlight w:val="none"/>
                <w:u w:color="000000"/>
                <w:lang w:val="en-US" w:eastAsia="zh-CN" w:bidi="ar"/>
              </w:rPr>
              <w:t>评审核验标书中的下述文件：</w:t>
            </w:r>
          </w:p>
          <w:p w14:paraId="07B4A02E">
            <w:pPr>
              <w:keepNext w:val="0"/>
              <w:keepLines w:val="0"/>
              <w:suppressLineNumbers w:val="0"/>
              <w:spacing w:before="0" w:beforeAutospacing="0" w:after="0" w:afterAutospacing="0" w:line="360" w:lineRule="exact"/>
              <w:ind w:left="0" w:right="0"/>
              <w:rPr>
                <w:rFonts w:hint="default" w:ascii="宋体" w:hAnsi="宋体"/>
                <w:color w:val="000000"/>
                <w:szCs w:val="21"/>
                <w:highlight w:val="none"/>
                <w:lang w:val="en-US" w:eastAsia="zh-CN"/>
              </w:rPr>
            </w:pPr>
            <w:r>
              <w:rPr>
                <w:rFonts w:hint="default" w:ascii="宋体" w:hAnsi="宋体" w:eastAsia="宋体" w:cs="宋体"/>
                <w:color w:val="auto"/>
                <w:szCs w:val="21"/>
                <w:lang w:val="en-US" w:eastAsia="zh-CN"/>
              </w:rPr>
              <w:t>提供合同复印件加盖</w:t>
            </w:r>
            <w:r>
              <w:rPr>
                <w:rFonts w:hint="eastAsia" w:ascii="宋体" w:hAnsi="宋体" w:cs="宋体"/>
                <w:color w:val="auto"/>
                <w:szCs w:val="21"/>
                <w:lang w:val="en-US" w:eastAsia="zh-CN"/>
              </w:rPr>
              <w:t>投标人</w:t>
            </w:r>
            <w:r>
              <w:rPr>
                <w:rFonts w:hint="default" w:ascii="宋体" w:hAnsi="宋体" w:eastAsia="宋体" w:cs="宋体"/>
                <w:color w:val="auto"/>
                <w:szCs w:val="21"/>
                <w:lang w:val="en-US" w:eastAsia="zh-CN"/>
              </w:rPr>
              <w:t>公章，</w:t>
            </w:r>
            <w:r>
              <w:rPr>
                <w:rFonts w:hint="eastAsia" w:ascii="宋体" w:hAnsi="宋体" w:cs="宋体"/>
                <w:color w:val="auto"/>
                <w:szCs w:val="21"/>
                <w:lang w:val="en-US" w:eastAsia="zh-CN"/>
              </w:rPr>
              <w:t>合同</w:t>
            </w:r>
            <w:r>
              <w:rPr>
                <w:rFonts w:hint="default" w:ascii="宋体" w:hAnsi="宋体" w:eastAsia="宋体" w:cs="宋体"/>
                <w:color w:val="auto"/>
                <w:szCs w:val="21"/>
                <w:lang w:val="en-US" w:eastAsia="zh-CN"/>
              </w:rPr>
              <w:t>原件备查</w:t>
            </w:r>
          </w:p>
        </w:tc>
      </w:tr>
      <w:tr w14:paraId="1F92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58C0FAE7">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4A05C2E3">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257960FF">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color w:val="000000"/>
                <w:szCs w:val="21"/>
                <w:highlight w:val="none"/>
                <w:lang w:val="en-US" w:eastAsia="zh-CN"/>
              </w:rPr>
            </w:pPr>
            <w:r>
              <w:rPr>
                <w:rFonts w:hint="default" w:ascii="宋体" w:hAnsi="宋体" w:eastAsia="宋体" w:cs="Times New Roman"/>
                <w:color w:val="000000"/>
                <w:kern w:val="2"/>
                <w:sz w:val="21"/>
                <w:szCs w:val="21"/>
                <w:lang w:val="en-US" w:eastAsia="zh-CN" w:bidi="ar-SA"/>
              </w:rPr>
              <w:t>（</w:t>
            </w:r>
            <w:r>
              <w:rPr>
                <w:rFonts w:hint="eastAsia" w:ascii="宋体" w:hAnsi="宋体" w:cs="Times New Roman"/>
                <w:color w:val="000000"/>
                <w:kern w:val="2"/>
                <w:sz w:val="21"/>
                <w:szCs w:val="21"/>
                <w:lang w:val="en-US" w:eastAsia="zh-CN" w:bidi="ar-SA"/>
              </w:rPr>
              <w:t>6</w:t>
            </w:r>
            <w:r>
              <w:rPr>
                <w:rFonts w:hint="default" w:ascii="宋体" w:hAnsi="宋体" w:eastAsia="宋体" w:cs="Times New Roman"/>
                <w:color w:val="000000"/>
                <w:kern w:val="2"/>
                <w:sz w:val="21"/>
                <w:szCs w:val="21"/>
                <w:lang w:val="en-US" w:eastAsia="zh-CN" w:bidi="ar-SA"/>
              </w:rPr>
              <w:t>）</w:t>
            </w:r>
            <w:r>
              <w:rPr>
                <w:rFonts w:hint="eastAsia" w:ascii="宋体" w:hAnsi="宋体" w:eastAsia="宋体" w:cs="宋体"/>
                <w:color w:val="auto"/>
                <w:szCs w:val="21"/>
                <w:lang w:val="en-US" w:eastAsia="zh-CN"/>
              </w:rPr>
              <w:t>自2021年6月以来（时间以合同签订时间为准），投标人承担过合同金额18万元及以上的类似项目业绩</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47435262">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b/>
                <w:bCs w:val="0"/>
                <w:color w:val="000000"/>
                <w:kern w:val="2"/>
                <w:sz w:val="21"/>
                <w:szCs w:val="21"/>
                <w:highlight w:val="none"/>
                <w:u w:color="000000"/>
                <w:lang w:val="en-US" w:eastAsia="zh-CN" w:bidi="ar"/>
              </w:rPr>
              <w:t>评审核验标书中的下述文件：</w:t>
            </w:r>
          </w:p>
          <w:p w14:paraId="7DCCA9A3">
            <w:pPr>
              <w:keepNext w:val="0"/>
              <w:keepLines w:val="0"/>
              <w:suppressLineNumbers w:val="0"/>
              <w:spacing w:before="0" w:beforeAutospacing="0" w:after="0" w:afterAutospacing="0" w:line="360" w:lineRule="exact"/>
              <w:ind w:left="0" w:right="0"/>
              <w:rPr>
                <w:rFonts w:hint="default" w:ascii="宋体" w:hAnsi="宋体"/>
                <w:color w:val="000000"/>
                <w:szCs w:val="21"/>
                <w:highlight w:val="none"/>
                <w:lang w:val="en-US" w:eastAsia="zh-CN"/>
              </w:rPr>
            </w:pPr>
            <w:r>
              <w:rPr>
                <w:rFonts w:hint="eastAsia" w:ascii="宋体" w:hAnsi="宋体" w:eastAsia="宋体" w:cs="宋体"/>
                <w:color w:val="auto"/>
                <w:szCs w:val="21"/>
                <w:lang w:val="en-US" w:eastAsia="zh-CN"/>
              </w:rPr>
              <w:t>合同内容至少有2项类别与采购内容相符合，提供合同复印件加盖</w:t>
            </w:r>
            <w:r>
              <w:rPr>
                <w:rFonts w:hint="eastAsia" w:ascii="宋体" w:hAnsi="宋体" w:cs="宋体"/>
                <w:color w:val="auto"/>
                <w:szCs w:val="21"/>
                <w:lang w:val="en-US" w:eastAsia="zh-CN"/>
              </w:rPr>
              <w:t>投标人</w:t>
            </w:r>
            <w:r>
              <w:rPr>
                <w:rFonts w:hint="eastAsia" w:ascii="宋体" w:hAnsi="宋体" w:eastAsia="宋体" w:cs="宋体"/>
                <w:color w:val="auto"/>
                <w:szCs w:val="21"/>
                <w:lang w:val="en-US" w:eastAsia="zh-CN"/>
              </w:rPr>
              <w:t>公章，原件备查</w:t>
            </w:r>
          </w:p>
        </w:tc>
      </w:tr>
    </w:tbl>
    <w:p w14:paraId="5AEC2A8B">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4.符合性审查</w:t>
      </w:r>
    </w:p>
    <w:p w14:paraId="53F8A7C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highlight w:val="none"/>
          <w:lang w:val="en-US"/>
        </w:rPr>
      </w:pPr>
      <w:bookmarkStart w:id="15" w:name="_Toc4660368"/>
      <w:bookmarkEnd w:id="15"/>
      <w:r>
        <w:rPr>
          <w:rFonts w:hint="eastAsia" w:ascii="宋体" w:hAnsi="宋体" w:eastAsia="宋体" w:cs="宋体"/>
          <w:color w:val="000000"/>
          <w:kern w:val="0"/>
          <w:sz w:val="21"/>
          <w:szCs w:val="21"/>
          <w:highlight w:val="none"/>
          <w:u w:color="000000"/>
          <w:lang w:val="en-US" w:eastAsia="zh-CN" w:bidi="ar"/>
        </w:rPr>
        <w:t>4.1评审细则</w:t>
      </w:r>
    </w:p>
    <w:tbl>
      <w:tblPr>
        <w:tblStyle w:val="47"/>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7"/>
        <w:gridCol w:w="1000"/>
        <w:gridCol w:w="2501"/>
        <w:gridCol w:w="4781"/>
      </w:tblGrid>
      <w:tr w14:paraId="2F7E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C31F65">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kern w:val="2"/>
                <w:highlight w:val="none"/>
                <w:lang w:val="en-US"/>
              </w:rPr>
            </w:pPr>
            <w:r>
              <w:rPr>
                <w:rFonts w:hint="eastAsia" w:ascii="黑体" w:hAnsi="宋体" w:eastAsia="黑体" w:cs="宋体"/>
                <w:b/>
                <w:bCs/>
                <w:color w:val="000000"/>
                <w:kern w:val="2"/>
                <w:sz w:val="21"/>
                <w:szCs w:val="21"/>
                <w:highlight w:val="none"/>
                <w:u w:color="000000"/>
                <w:lang w:val="en-US" w:eastAsia="zh-CN" w:bidi="ar"/>
              </w:rPr>
              <w:t>序号</w:t>
            </w:r>
          </w:p>
        </w:tc>
        <w:tc>
          <w:tcPr>
            <w:tcW w:w="3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B4DAD7">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kern w:val="2"/>
                <w:highlight w:val="none"/>
                <w:lang w:val="en-US"/>
              </w:rPr>
            </w:pPr>
            <w:r>
              <w:rPr>
                <w:rFonts w:hint="eastAsia" w:ascii="黑体" w:hAnsi="宋体" w:eastAsia="黑体" w:cs="宋体"/>
                <w:b/>
                <w:bCs/>
                <w:color w:val="000000"/>
                <w:kern w:val="2"/>
                <w:sz w:val="21"/>
                <w:szCs w:val="21"/>
                <w:highlight w:val="none"/>
                <w:u w:color="000000"/>
                <w:lang w:val="en-US" w:eastAsia="zh-CN" w:bidi="ar"/>
              </w:rPr>
              <w:t>审查因素</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6A36B178">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kern w:val="2"/>
                <w:highlight w:val="none"/>
                <w:lang w:val="en-US"/>
              </w:rPr>
            </w:pPr>
            <w:r>
              <w:rPr>
                <w:rFonts w:hint="eastAsia" w:ascii="黑体" w:hAnsi="宋体" w:eastAsia="黑体" w:cs="宋体"/>
                <w:b/>
                <w:bCs/>
                <w:color w:val="000000"/>
                <w:kern w:val="2"/>
                <w:sz w:val="21"/>
                <w:szCs w:val="21"/>
                <w:highlight w:val="none"/>
                <w:u w:color="000000"/>
                <w:lang w:val="en-US" w:eastAsia="zh-CN" w:bidi="ar"/>
              </w:rPr>
              <w:t>审查内容</w:t>
            </w:r>
          </w:p>
        </w:tc>
      </w:tr>
      <w:tr w14:paraId="27E9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F31284">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469FB8">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投标文件的有效性</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49F319AC">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（1）投标文件签署</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033745DD">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签字、盖章符合要求。</w:t>
            </w:r>
          </w:p>
        </w:tc>
      </w:tr>
      <w:tr w14:paraId="6FB4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E4249">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F8EB8">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4F05EDD7">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（2）投标方案</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7C6B3BDA">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只能有一个方案投标。</w:t>
            </w:r>
          </w:p>
        </w:tc>
      </w:tr>
      <w:tr w14:paraId="016E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509DE">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DE895">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4BD1C59F">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（3）报价唯一</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6FA41C48">
            <w:pPr>
              <w:keepNext w:val="0"/>
              <w:keepLines w:val="0"/>
              <w:widowControl/>
              <w:suppressLineNumbers w:val="0"/>
              <w:spacing w:before="0" w:beforeAutospacing="0" w:after="0" w:afterAutospacing="0" w:line="320" w:lineRule="atLeast"/>
              <w:ind w:left="0" w:leftChars="0" w:right="0" w:rightChars="0"/>
              <w:jc w:val="both"/>
              <w:rPr>
                <w:rFonts w:hint="default" w:ascii="宋体" w:hAnsi="宋体" w:eastAsia="宋体" w:cs="宋体"/>
                <w:kern w:val="2"/>
                <w:highlight w:val="none"/>
                <w:lang w:val="en-US"/>
              </w:rPr>
            </w:pPr>
            <w:r>
              <w:rPr>
                <w:rFonts w:hint="eastAsia" w:ascii="宋体" w:hAnsi="宋体" w:cs="宋体"/>
                <w:szCs w:val="21"/>
                <w:highlight w:val="none"/>
              </w:rPr>
              <w:t>只能有一个报价</w:t>
            </w:r>
            <w:r>
              <w:rPr>
                <w:rFonts w:hint="eastAsia" w:ascii="宋体" w:hAnsi="宋体" w:eastAsia="宋体" w:cs="仿宋_GB2312"/>
                <w:color w:val="000000"/>
                <w:kern w:val="2"/>
                <w:sz w:val="21"/>
                <w:szCs w:val="21"/>
                <w:highlight w:val="none"/>
                <w:u w:color="000000"/>
                <w:lang w:val="en-US" w:eastAsia="zh-CN" w:bidi="ar"/>
              </w:rPr>
              <w:t>。</w:t>
            </w:r>
          </w:p>
        </w:tc>
      </w:tr>
      <w:tr w14:paraId="2F02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5"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D1B119">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1DA16">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648825EB">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 xml:space="preserve"> (4) 投标文件的有效期</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0BA76C7A">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完全响应。</w:t>
            </w:r>
          </w:p>
        </w:tc>
      </w:tr>
      <w:tr w14:paraId="41B2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E82278">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37527A">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投标文件的完整性</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01E16878">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（5）投标文件份数</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10137C1D">
            <w:pPr>
              <w:keepNext w:val="0"/>
              <w:keepLines w:val="0"/>
              <w:widowControl/>
              <w:suppressLineNumbers w:val="0"/>
              <w:spacing w:before="0" w:beforeAutospacing="0" w:after="0" w:afterAutospacing="0" w:line="400" w:lineRule="exact"/>
              <w:ind w:left="0" w:leftChars="0" w:right="0" w:rightChars="0"/>
              <w:jc w:val="both"/>
              <w:rPr>
                <w:rFonts w:hint="eastAsia" w:ascii="黑体" w:hAnsi="宋体" w:eastAsia="黑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符合招标文件要求。</w:t>
            </w:r>
          </w:p>
        </w:tc>
      </w:tr>
      <w:tr w14:paraId="3244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9BE81">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EBA79">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379B35D6">
            <w:pPr>
              <w:keepNext w:val="0"/>
              <w:keepLines w:val="0"/>
              <w:widowControl/>
              <w:suppressLineNumbers w:val="0"/>
              <w:spacing w:before="0" w:beforeAutospacing="0" w:after="0" w:afterAutospacing="0" w:line="400" w:lineRule="exact"/>
              <w:ind w:left="0" w:leftChars="0" w:right="0" w:rightChars="0"/>
              <w:jc w:val="both"/>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（6）投标文件形式内容</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0905F427">
            <w:pPr>
              <w:keepNext w:val="0"/>
              <w:keepLines w:val="0"/>
              <w:widowControl/>
              <w:suppressLineNumbers w:val="0"/>
              <w:spacing w:before="0" w:beforeAutospacing="0" w:after="0" w:afterAutospacing="0" w:line="400" w:lineRule="exact"/>
              <w:ind w:left="0" w:leftChars="0" w:right="0" w:rightChars="0"/>
              <w:jc w:val="both"/>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投标文件内容清晰、齐全无遗漏。</w:t>
            </w:r>
          </w:p>
        </w:tc>
      </w:tr>
      <w:tr w14:paraId="1EDA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67" w:type="dxa"/>
            <w:vMerge w:val="restart"/>
            <w:tcBorders>
              <w:top w:val="single" w:color="auto" w:sz="4" w:space="0"/>
              <w:left w:val="single" w:color="auto" w:sz="4" w:space="0"/>
              <w:right w:val="single" w:color="auto" w:sz="4" w:space="0"/>
            </w:tcBorders>
            <w:shd w:val="clear" w:color="auto" w:fill="auto"/>
            <w:vAlign w:val="center"/>
          </w:tcPr>
          <w:p w14:paraId="18B88281">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w:t>
            </w:r>
          </w:p>
        </w:tc>
        <w:tc>
          <w:tcPr>
            <w:tcW w:w="1000" w:type="dxa"/>
            <w:vMerge w:val="restart"/>
            <w:tcBorders>
              <w:top w:val="single" w:color="auto" w:sz="4" w:space="0"/>
              <w:left w:val="single" w:color="auto" w:sz="4" w:space="0"/>
              <w:right w:val="single" w:color="auto" w:sz="4" w:space="0"/>
            </w:tcBorders>
            <w:shd w:val="clear" w:color="auto" w:fill="auto"/>
            <w:vAlign w:val="center"/>
          </w:tcPr>
          <w:p w14:paraId="76395FD2">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kern w:val="2"/>
                <w:highlight w:val="none"/>
                <w:lang w:val="en-US"/>
              </w:rPr>
            </w:pPr>
            <w:r>
              <w:rPr>
                <w:rFonts w:hint="default" w:ascii="宋体" w:hAnsi="宋体" w:eastAsia="宋体" w:cs="宋体"/>
                <w:kern w:val="2"/>
                <w:highlight w:val="none"/>
                <w:lang w:val="en-US"/>
              </w:rPr>
              <w:t>标书的响应程度</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7F1C26EE">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（7）技术参数响应程度</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1074F176">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 xml:space="preserve">最大限度满足招标文件要求。 </w:t>
            </w:r>
          </w:p>
        </w:tc>
      </w:tr>
      <w:tr w14:paraId="2D6C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0"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14:paraId="587EACCF">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kern w:val="2"/>
                <w:highlight w:val="none"/>
                <w:lang w:val="en-US"/>
              </w:rPr>
            </w:pPr>
          </w:p>
        </w:tc>
        <w:tc>
          <w:tcPr>
            <w:tcW w:w="1000" w:type="dxa"/>
            <w:vMerge w:val="continue"/>
            <w:tcBorders>
              <w:left w:val="single" w:color="auto" w:sz="4" w:space="0"/>
              <w:bottom w:val="single" w:color="auto" w:sz="4" w:space="0"/>
              <w:right w:val="single" w:color="auto" w:sz="4" w:space="0"/>
            </w:tcBorders>
            <w:shd w:val="clear" w:color="auto" w:fill="auto"/>
            <w:vAlign w:val="center"/>
          </w:tcPr>
          <w:p w14:paraId="38C3D30D">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kern w:val="2"/>
                <w:highlight w:val="none"/>
                <w:lang w:val="en-US"/>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0BA1E769">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仿宋_GB2312"/>
                <w:color w:val="0000FF"/>
                <w:kern w:val="2"/>
                <w:sz w:val="21"/>
                <w:szCs w:val="24"/>
                <w:highlight w:val="none"/>
                <w:lang w:val="en-US" w:eastAsia="zh-CN" w:bidi="ar-SA"/>
              </w:rPr>
            </w:pPr>
            <w:r>
              <w:rPr>
                <w:rFonts w:hint="eastAsia" w:ascii="宋体" w:hAnsi="宋体" w:eastAsia="宋体" w:cs="仿宋_GB2312"/>
                <w:color w:val="000000"/>
                <w:kern w:val="2"/>
                <w:sz w:val="21"/>
                <w:szCs w:val="21"/>
                <w:highlight w:val="none"/>
                <w:u w:color="000000"/>
                <w:lang w:val="en-US" w:eastAsia="zh-CN" w:bidi="ar"/>
              </w:rPr>
              <w:t>（8）商务条款响应程度</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6EECAD1B">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仿宋_GB2312"/>
                <w:color w:val="0000FF"/>
                <w:kern w:val="2"/>
                <w:sz w:val="21"/>
                <w:szCs w:val="24"/>
                <w:highlight w:val="none"/>
                <w:lang w:val="en-US" w:eastAsia="zh-CN" w:bidi="ar-SA"/>
              </w:rPr>
            </w:pPr>
            <w:r>
              <w:rPr>
                <w:rFonts w:hint="eastAsia" w:ascii="宋体" w:hAnsi="宋体" w:eastAsia="宋体" w:cs="仿宋_GB2312"/>
                <w:color w:val="000000"/>
                <w:kern w:val="2"/>
                <w:sz w:val="21"/>
                <w:szCs w:val="21"/>
                <w:highlight w:val="none"/>
                <w:u w:color="000000"/>
                <w:lang w:val="en-US" w:eastAsia="zh-CN" w:bidi="ar"/>
              </w:rPr>
              <w:t>最大限度满足招标文件要求。不满足者按评分细则进行评审评分。</w:t>
            </w:r>
          </w:p>
        </w:tc>
      </w:tr>
    </w:tbl>
    <w:p w14:paraId="389FC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6EC3D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2FF977B1">
      <w:pPr>
        <w:keepNext w:val="0"/>
        <w:keepLines w:val="0"/>
        <w:pageBreakBefore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4.4只有通过初审的投标人才能进入下一步程序。</w:t>
      </w:r>
      <w:bookmarkStart w:id="16" w:name="_Toc362983803"/>
      <w:bookmarkStart w:id="17" w:name="_Toc449028879"/>
      <w:bookmarkStart w:id="18" w:name="_Toc58430319"/>
    </w:p>
    <w:p w14:paraId="19E17374">
      <w:pPr>
        <w:widowControl w:val="0"/>
        <w:numPr>
          <w:ilvl w:val="0"/>
          <w:numId w:val="0"/>
        </w:numPr>
        <w:snapToGrid w:val="0"/>
        <w:spacing w:before="156" w:beforeLines="50" w:after="156" w:afterLines="50" w:line="440" w:lineRule="exact"/>
        <w:jc w:val="center"/>
        <w:outlineLvl w:val="1"/>
        <w:rPr>
          <w:rFonts w:hint="eastAsia"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三、投标文件的澄清和补正</w:t>
      </w:r>
      <w:bookmarkEnd w:id="16"/>
      <w:bookmarkEnd w:id="17"/>
      <w:bookmarkEnd w:id="18"/>
    </w:p>
    <w:p w14:paraId="7DBB07CF">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4083EB2F">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5.2本项目采用</w:t>
      </w:r>
      <w:r>
        <w:rPr>
          <w:rFonts w:hint="eastAsia" w:ascii="宋体"/>
          <w:color w:val="auto"/>
          <w:szCs w:val="21"/>
          <w:highlight w:val="none"/>
          <w:lang w:val="en-US" w:eastAsia="zh-CN"/>
        </w:rPr>
        <w:t>现场</w:t>
      </w:r>
      <w:r>
        <w:rPr>
          <w:rFonts w:hint="eastAsia" w:ascii="宋体"/>
          <w:color w:val="auto"/>
          <w:szCs w:val="21"/>
          <w:highlight w:val="none"/>
        </w:rPr>
        <w:t>开标，投标人的澄清、说明或者补正应当在</w:t>
      </w:r>
      <w:r>
        <w:rPr>
          <w:rFonts w:hint="eastAsia" w:ascii="宋体"/>
          <w:color w:val="auto"/>
          <w:szCs w:val="21"/>
          <w:highlight w:val="none"/>
          <w:lang w:val="en-US" w:eastAsia="zh-CN"/>
        </w:rPr>
        <w:t>开标现场</w:t>
      </w:r>
      <w:r>
        <w:rPr>
          <w:rFonts w:hint="eastAsia" w:ascii="宋体"/>
          <w:color w:val="auto"/>
          <w:szCs w:val="21"/>
          <w:highlight w:val="none"/>
        </w:rPr>
        <w:t>进行，但不得超出投标书的范围或者改变投标书的实质性内容。</w:t>
      </w:r>
    </w:p>
    <w:p w14:paraId="1031DB57">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75193FFA">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24BE7CE">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w:t>
      </w:r>
      <w:r>
        <w:rPr>
          <w:rFonts w:hint="eastAsia" w:ascii="宋体"/>
          <w:color w:val="auto"/>
          <w:szCs w:val="21"/>
          <w:highlight w:val="none"/>
          <w:lang w:eastAsia="zh-CN"/>
        </w:rPr>
        <w:t>，</w:t>
      </w:r>
      <w:r>
        <w:rPr>
          <w:rFonts w:hint="eastAsia" w:ascii="宋体"/>
          <w:color w:val="auto"/>
          <w:szCs w:val="21"/>
          <w:highlight w:val="none"/>
        </w:rPr>
        <w:t>以招标数量为准。</w:t>
      </w:r>
    </w:p>
    <w:p w14:paraId="7F75BB33">
      <w:pPr>
        <w:keepNext w:val="0"/>
        <w:keepLines w:val="0"/>
        <w:pageBreakBefore w:val="0"/>
        <w:widowControl w:val="0"/>
        <w:kinsoku/>
        <w:wordWrap/>
        <w:overflowPunct/>
        <w:topLinePunct w:val="0"/>
        <w:autoSpaceDE/>
        <w:autoSpaceDN/>
        <w:bidi w:val="0"/>
        <w:adjustRightInd/>
        <w:snapToGrid/>
        <w:spacing w:line="500" w:lineRule="exact"/>
        <w:ind w:firstLine="403" w:firstLineChars="192"/>
        <w:textAlignment w:val="auto"/>
        <w:rPr>
          <w:rFonts w:hint="eastAsia" w:ascii="宋体"/>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p>
    <w:p w14:paraId="4F14EA31">
      <w:pPr>
        <w:widowControl w:val="0"/>
        <w:numPr>
          <w:ilvl w:val="0"/>
          <w:numId w:val="0"/>
        </w:numPr>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hAnsi="Times New Roman" w:eastAsia="宋体" w:cs="Times New Roman"/>
          <w:b/>
          <w:color w:val="auto"/>
          <w:kern w:val="2"/>
          <w:sz w:val="24"/>
          <w:szCs w:val="24"/>
          <w:lang w:val="en-US" w:eastAsia="zh-CN" w:bidi="ar-SA"/>
        </w:rPr>
        <w:t>四、</w:t>
      </w:r>
      <w:r>
        <w:rPr>
          <w:rFonts w:hint="eastAsia" w:ascii="宋体"/>
          <w:b/>
          <w:color w:val="auto"/>
          <w:sz w:val="24"/>
          <w:szCs w:val="24"/>
          <w:highlight w:val="none"/>
        </w:rPr>
        <w:t>比较与评价</w:t>
      </w:r>
    </w:p>
    <w:p w14:paraId="0CFE21EC">
      <w:pPr>
        <w:spacing w:line="400" w:lineRule="exact"/>
        <w:ind w:firstLine="417" w:firstLineChars="198"/>
        <w:rPr>
          <w:rFonts w:hint="eastAsia" w:ascii="宋体"/>
          <w:b/>
          <w:color w:val="auto"/>
          <w:szCs w:val="21"/>
          <w:highlight w:val="none"/>
        </w:rPr>
      </w:pPr>
      <w:r>
        <w:rPr>
          <w:rFonts w:hint="eastAsia" w:ascii="宋体" w:hAnsi="宋体"/>
          <w:b/>
          <w:color w:val="auto"/>
          <w:szCs w:val="21"/>
          <w:highlight w:val="none"/>
        </w:rPr>
        <w:t xml:space="preserve"> 6. </w:t>
      </w:r>
      <w:r>
        <w:rPr>
          <w:rFonts w:hint="eastAsia" w:ascii="宋体"/>
          <w:b/>
          <w:color w:val="auto"/>
          <w:szCs w:val="21"/>
          <w:highlight w:val="none"/>
        </w:rPr>
        <w:t>详细评审即按招标文件中规定的评标方法和标准，评标委员会将对通过初审的投标文件，进行资信、技术和商务部分评估、综合比较与评价。</w:t>
      </w:r>
    </w:p>
    <w:p w14:paraId="68AFB8C6">
      <w:pPr>
        <w:spacing w:line="440" w:lineRule="exact"/>
        <w:ind w:firstLine="422" w:firstLineChars="200"/>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6.</w:t>
      </w:r>
      <w:r>
        <w:rPr>
          <w:rFonts w:hint="eastAsia" w:ascii="宋体" w:cs="Times New Roman"/>
          <w:b/>
          <w:bCs/>
          <w:color w:val="auto"/>
          <w:szCs w:val="21"/>
          <w:highlight w:val="none"/>
          <w:lang w:val="en-US" w:eastAsia="zh-CN"/>
        </w:rPr>
        <w:t>1</w:t>
      </w:r>
      <w:r>
        <w:rPr>
          <w:rFonts w:hint="eastAsia" w:ascii="宋体" w:hAnsi="Times New Roman" w:eastAsia="宋体" w:cs="Times New Roman"/>
          <w:b/>
          <w:bCs/>
          <w:color w:val="auto"/>
          <w:szCs w:val="21"/>
          <w:highlight w:val="none"/>
          <w:lang w:val="en-US" w:eastAsia="zh-CN"/>
        </w:rPr>
        <w:t>技术标评审（</w:t>
      </w:r>
      <w:r>
        <w:rPr>
          <w:rFonts w:hint="eastAsia" w:ascii="宋体" w:cs="Times New Roman"/>
          <w:b/>
          <w:bCs/>
          <w:color w:val="auto"/>
          <w:szCs w:val="21"/>
          <w:highlight w:val="none"/>
          <w:lang w:val="en-US" w:eastAsia="zh-CN"/>
        </w:rPr>
        <w:t>35</w:t>
      </w:r>
      <w:r>
        <w:rPr>
          <w:rFonts w:hint="eastAsia" w:ascii="宋体" w:hAnsi="Times New Roman" w:eastAsia="宋体" w:cs="Times New Roman"/>
          <w:b/>
          <w:bCs/>
          <w:color w:val="auto"/>
          <w:szCs w:val="21"/>
          <w:highlight w:val="none"/>
          <w:lang w:val="en-US" w:eastAsia="zh-CN"/>
        </w:rPr>
        <w:t>分）</w:t>
      </w:r>
    </w:p>
    <w:tbl>
      <w:tblPr>
        <w:tblStyle w:val="47"/>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76"/>
        <w:gridCol w:w="886"/>
        <w:gridCol w:w="6480"/>
      </w:tblGrid>
      <w:tr w14:paraId="4484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7" w:type="dxa"/>
            <w:noWrap w:val="0"/>
            <w:vAlign w:val="center"/>
          </w:tcPr>
          <w:p w14:paraId="50E86843">
            <w:pPr>
              <w:spacing w:line="440" w:lineRule="exact"/>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序号</w:t>
            </w:r>
          </w:p>
        </w:tc>
        <w:tc>
          <w:tcPr>
            <w:tcW w:w="1076" w:type="dxa"/>
            <w:noWrap w:val="0"/>
            <w:vAlign w:val="center"/>
          </w:tcPr>
          <w:p w14:paraId="77EB5D70">
            <w:pPr>
              <w:spacing w:line="440" w:lineRule="exact"/>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评审因素</w:t>
            </w:r>
          </w:p>
        </w:tc>
        <w:tc>
          <w:tcPr>
            <w:tcW w:w="886" w:type="dxa"/>
            <w:noWrap w:val="0"/>
            <w:vAlign w:val="center"/>
          </w:tcPr>
          <w:p w14:paraId="4658CD5A">
            <w:pPr>
              <w:spacing w:line="440" w:lineRule="exact"/>
              <w:jc w:val="center"/>
              <w:rPr>
                <w:rFonts w:hint="default"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分值</w:t>
            </w:r>
          </w:p>
        </w:tc>
        <w:tc>
          <w:tcPr>
            <w:tcW w:w="6480" w:type="dxa"/>
            <w:noWrap w:val="0"/>
            <w:vAlign w:val="center"/>
          </w:tcPr>
          <w:p w14:paraId="5DD76181">
            <w:pPr>
              <w:spacing w:line="440" w:lineRule="exact"/>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评审标准</w:t>
            </w:r>
          </w:p>
        </w:tc>
      </w:tr>
      <w:tr w14:paraId="3D86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17" w:type="dxa"/>
            <w:noWrap w:val="0"/>
            <w:vAlign w:val="center"/>
          </w:tcPr>
          <w:p w14:paraId="541146EA">
            <w:pPr>
              <w:spacing w:line="440" w:lineRule="exact"/>
              <w:jc w:val="center"/>
              <w:rPr>
                <w:rFonts w:hint="default"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1</w:t>
            </w:r>
          </w:p>
        </w:tc>
        <w:tc>
          <w:tcPr>
            <w:tcW w:w="1076" w:type="dxa"/>
            <w:noWrap w:val="0"/>
            <w:vAlign w:val="center"/>
          </w:tcPr>
          <w:p w14:paraId="6AC3B544">
            <w:pPr>
              <w:spacing w:line="240" w:lineRule="auto"/>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公司实力</w:t>
            </w:r>
          </w:p>
        </w:tc>
        <w:tc>
          <w:tcPr>
            <w:tcW w:w="886" w:type="dxa"/>
            <w:noWrap w:val="0"/>
            <w:vAlign w:val="center"/>
          </w:tcPr>
          <w:p w14:paraId="63111BE1">
            <w:pPr>
              <w:spacing w:line="240" w:lineRule="auto"/>
              <w:jc w:val="center"/>
              <w:rPr>
                <w:rFonts w:hint="default" w:ascii="宋体" w:hAnsi="Times New Roman" w:eastAsia="宋体" w:cs="Times New Roman"/>
                <w:color w:val="auto"/>
                <w:szCs w:val="21"/>
                <w:highlight w:val="none"/>
                <w:lang w:val="en-US" w:eastAsia="zh-CN"/>
              </w:rPr>
            </w:pPr>
            <w:r>
              <w:rPr>
                <w:rFonts w:hint="eastAsia" w:ascii="宋体" w:eastAsia="宋体" w:cs="Times New Roman"/>
                <w:color w:val="auto"/>
                <w:szCs w:val="21"/>
                <w:highlight w:val="none"/>
                <w:lang w:val="en-US" w:eastAsia="zh-CN"/>
              </w:rPr>
              <w:t>5</w:t>
            </w:r>
          </w:p>
        </w:tc>
        <w:tc>
          <w:tcPr>
            <w:tcW w:w="6480" w:type="dxa"/>
            <w:noWrap w:val="0"/>
            <w:vAlign w:val="center"/>
          </w:tcPr>
          <w:p w14:paraId="49C8B516">
            <w:pPr>
              <w:keepNext w:val="0"/>
              <w:keepLines w:val="0"/>
              <w:pageBreakBefore w:val="0"/>
              <w:widowControl w:val="0"/>
              <w:kinsoku/>
              <w:wordWrap/>
              <w:overflowPunct/>
              <w:topLinePunct w:val="0"/>
              <w:bidi w:val="0"/>
              <w:snapToGrid/>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投标人具有环境管理体系认证证书、沙盘模型质量认证证书，每提供1个得2.5分，最高得5分，未提供不得分。提供认证证书复印件加盖投标人公章。</w:t>
            </w:r>
          </w:p>
        </w:tc>
      </w:tr>
      <w:tr w14:paraId="03A5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17" w:type="dxa"/>
            <w:noWrap w:val="0"/>
            <w:vAlign w:val="center"/>
          </w:tcPr>
          <w:p w14:paraId="1FECAA7E">
            <w:pPr>
              <w:spacing w:line="440" w:lineRule="exact"/>
              <w:jc w:val="center"/>
              <w:rPr>
                <w:rFonts w:hint="default"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2</w:t>
            </w:r>
          </w:p>
        </w:tc>
        <w:tc>
          <w:tcPr>
            <w:tcW w:w="1076" w:type="dxa"/>
            <w:noWrap w:val="0"/>
            <w:vAlign w:val="center"/>
          </w:tcPr>
          <w:p w14:paraId="00B7F4DD">
            <w:pPr>
              <w:spacing w:line="240" w:lineRule="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沙盘模型工艺技术</w:t>
            </w:r>
          </w:p>
        </w:tc>
        <w:tc>
          <w:tcPr>
            <w:tcW w:w="886" w:type="dxa"/>
            <w:noWrap w:val="0"/>
            <w:vAlign w:val="center"/>
          </w:tcPr>
          <w:p w14:paraId="30E797D7">
            <w:pPr>
              <w:spacing w:line="240" w:lineRule="auto"/>
              <w:jc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10</w:t>
            </w:r>
          </w:p>
        </w:tc>
        <w:tc>
          <w:tcPr>
            <w:tcW w:w="6480" w:type="dxa"/>
            <w:noWrap w:val="0"/>
            <w:vAlign w:val="center"/>
          </w:tcPr>
          <w:p w14:paraId="7BFC6683">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针对本项目特点，投标人针对本项目提供具体的</w:t>
            </w:r>
            <w:r>
              <w:rPr>
                <w:rFonts w:hint="eastAsia" w:ascii="宋体" w:hAnsi="宋体" w:cs="宋体"/>
                <w:color w:val="000000" w:themeColor="text1"/>
                <w:sz w:val="21"/>
                <w:szCs w:val="21"/>
                <w:highlight w:val="none"/>
                <w:lang w:val="en-US" w:eastAsia="zh-CN"/>
                <w14:textFill>
                  <w14:solidFill>
                    <w14:schemeClr w14:val="tx1"/>
                  </w14:solidFill>
                </w14:textFill>
              </w:rPr>
              <w:t>参考沙盘模型及其工艺技术</w:t>
            </w:r>
            <w:r>
              <w:rPr>
                <w:rFonts w:hint="eastAsia" w:ascii="宋体" w:hAnsi="宋体" w:eastAsia="宋体" w:cs="宋体"/>
                <w:color w:val="000000" w:themeColor="text1"/>
                <w:sz w:val="21"/>
                <w:szCs w:val="21"/>
                <w:highlight w:val="none"/>
                <w:lang w:val="en-US" w:eastAsia="zh-CN"/>
                <w14:textFill>
                  <w14:solidFill>
                    <w14:schemeClr w14:val="tx1"/>
                  </w14:solidFill>
                </w14:textFill>
              </w:rPr>
              <w:t>，评标委员会对其</w:t>
            </w:r>
            <w:r>
              <w:rPr>
                <w:rFonts w:hint="eastAsia" w:ascii="宋体" w:hAnsi="宋体" w:cs="宋体"/>
                <w:color w:val="000000" w:themeColor="text1"/>
                <w:sz w:val="21"/>
                <w:szCs w:val="21"/>
                <w:highlight w:val="none"/>
                <w:lang w:val="en-US" w:eastAsia="zh-CN"/>
                <w14:textFill>
                  <w14:solidFill>
                    <w14:schemeClr w14:val="tx1"/>
                  </w14:solidFill>
                </w14:textFill>
              </w:rPr>
              <w:t>模型及工艺技术</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进行评审。</w:t>
            </w:r>
          </w:p>
          <w:p w14:paraId="463CB591">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①模型建筑比例、建筑管理、景观展示等，整体效果能否凸显项目品质。</w:t>
            </w:r>
          </w:p>
          <w:p w14:paraId="0AC72DA9">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②自然地貌、景观、道路、水系、路网灯光、设备外立面、重要标识建筑、机组具体表现形式，沙盘园林景观展示是否细致到位。</w:t>
            </w:r>
          </w:p>
          <w:p w14:paraId="494E6B27">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③灯光效果（公共空间等营造效果、山体水系展现效果、建筑及景观灯光展示效果）。</w:t>
            </w:r>
          </w:p>
          <w:p w14:paraId="444CA183">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④模型需出整体设计效果图。（不低于3张）</w:t>
            </w:r>
          </w:p>
          <w:p w14:paraId="2C9350F4">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优得10分，良得9分，一般得8分，差或未提供不得分。</w:t>
            </w:r>
          </w:p>
        </w:tc>
      </w:tr>
      <w:tr w14:paraId="3D3C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17" w:type="dxa"/>
            <w:noWrap w:val="0"/>
            <w:vAlign w:val="center"/>
          </w:tcPr>
          <w:p w14:paraId="7AD72A6D">
            <w:pPr>
              <w:spacing w:line="440" w:lineRule="exact"/>
              <w:jc w:val="center"/>
              <w:rPr>
                <w:rFonts w:hint="default"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3</w:t>
            </w:r>
          </w:p>
        </w:tc>
        <w:tc>
          <w:tcPr>
            <w:tcW w:w="1076" w:type="dxa"/>
            <w:noWrap w:val="0"/>
            <w:vAlign w:val="center"/>
          </w:tcPr>
          <w:p w14:paraId="3C400FBC">
            <w:pPr>
              <w:spacing w:line="240" w:lineRule="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品牌墙工艺技术</w:t>
            </w:r>
          </w:p>
        </w:tc>
        <w:tc>
          <w:tcPr>
            <w:tcW w:w="886" w:type="dxa"/>
            <w:noWrap w:val="0"/>
            <w:vAlign w:val="center"/>
          </w:tcPr>
          <w:p w14:paraId="1130AC1A">
            <w:pPr>
              <w:spacing w:line="240" w:lineRule="auto"/>
              <w:jc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10</w:t>
            </w:r>
          </w:p>
        </w:tc>
        <w:tc>
          <w:tcPr>
            <w:tcW w:w="6480" w:type="dxa"/>
            <w:noWrap w:val="0"/>
            <w:vAlign w:val="center"/>
          </w:tcPr>
          <w:p w14:paraId="623E6E1B">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针对本项目特点，投标人针对本项目提供具体的品牌墙方案，评标委员会对其方案进行评审。</w:t>
            </w:r>
          </w:p>
          <w:p w14:paraId="57CB68DC">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（1）品牌墙方案主题突出，应用技术标准合理，设计理念能够贴合建筑特点，优于本项目需求，得10分；</w:t>
            </w:r>
          </w:p>
          <w:p w14:paraId="687B9AAC">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（2）品牌墙方案设计理念方案内容简单，构思普通，应用技术标准满足本项目需求，得9分；</w:t>
            </w:r>
          </w:p>
          <w:p w14:paraId="3F3F8E80">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（3）设计理念方案内容存在不足，需进一步完善，得8分；</w:t>
            </w:r>
          </w:p>
          <w:p w14:paraId="3EE8D160">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（4）差或未提供不得分</w:t>
            </w:r>
          </w:p>
        </w:tc>
      </w:tr>
      <w:tr w14:paraId="011A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17" w:type="dxa"/>
            <w:noWrap w:val="0"/>
            <w:vAlign w:val="center"/>
          </w:tcPr>
          <w:p w14:paraId="2263FDB8">
            <w:pPr>
              <w:spacing w:line="440" w:lineRule="exact"/>
              <w:jc w:val="center"/>
              <w:rPr>
                <w:rFonts w:hint="default"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4</w:t>
            </w:r>
          </w:p>
        </w:tc>
        <w:tc>
          <w:tcPr>
            <w:tcW w:w="1076" w:type="dxa"/>
            <w:noWrap w:val="0"/>
            <w:vAlign w:val="center"/>
          </w:tcPr>
          <w:p w14:paraId="56F7844B">
            <w:pPr>
              <w:spacing w:line="240" w:lineRule="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项目进度保证措施</w:t>
            </w:r>
          </w:p>
        </w:tc>
        <w:tc>
          <w:tcPr>
            <w:tcW w:w="886" w:type="dxa"/>
            <w:noWrap w:val="0"/>
            <w:vAlign w:val="center"/>
          </w:tcPr>
          <w:p w14:paraId="4B9191F2">
            <w:pPr>
              <w:spacing w:line="440" w:lineRule="exact"/>
              <w:jc w:val="center"/>
              <w:rPr>
                <w:rFonts w:hint="eastAsia" w:ascii="宋体" w:hAnsi="Times New Roman" w:eastAsia="宋体" w:cs="Times New Roman"/>
                <w:color w:val="auto"/>
                <w:szCs w:val="21"/>
                <w:highlight w:val="none"/>
                <w:lang w:val="en-US" w:eastAsia="zh-CN"/>
              </w:rPr>
            </w:pPr>
            <w:r>
              <w:rPr>
                <w:rFonts w:hint="eastAsia" w:ascii="宋体" w:cs="Times New Roman"/>
                <w:color w:val="auto"/>
                <w:szCs w:val="21"/>
                <w:highlight w:val="none"/>
                <w:lang w:val="en-US" w:eastAsia="zh-CN"/>
              </w:rPr>
              <w:t>5</w:t>
            </w:r>
          </w:p>
        </w:tc>
        <w:tc>
          <w:tcPr>
            <w:tcW w:w="6480" w:type="dxa"/>
            <w:noWrap w:val="0"/>
            <w:vAlign w:val="center"/>
          </w:tcPr>
          <w:p w14:paraId="20C952CD">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针对本项目特点，投标人针对本项目提供具体的项目进度安排及保障措施，评标委员会对其方案进行评审。</w:t>
            </w:r>
          </w:p>
          <w:p w14:paraId="59F4EF8E">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（1）方案及处置措施内容详细完善，有明确的保障措施，优于本项目采购需求，针对性、实用性强，得5分；</w:t>
            </w:r>
          </w:p>
          <w:p w14:paraId="408416CB">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（2）方案及处置措施完整，适合本项目采购需求，具有针对性和可实施性，得4分；</w:t>
            </w:r>
          </w:p>
          <w:p w14:paraId="2A2C7188">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（3）方案及处置措施完整性欠缺，针对性、可实施性均有待提高，得3分；</w:t>
            </w:r>
          </w:p>
          <w:p w14:paraId="41FB06D2">
            <w:pPr>
              <w:spacing w:line="240" w:lineRule="auto"/>
              <w:rPr>
                <w:rFonts w:hint="eastAsia" w:ascii="宋体" w:hAnsi="Times New Roman" w:eastAsia="宋体" w:cs="Times New Roman"/>
                <w:color w:val="auto"/>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Times New Roman" w:eastAsia="宋体" w:cs="Times New Roman"/>
                <w:color w:val="auto"/>
                <w:szCs w:val="21"/>
                <w:highlight w:val="none"/>
                <w:lang w:val="en-US" w:eastAsia="zh-CN"/>
              </w:rPr>
              <w:t>差或</w:t>
            </w:r>
            <w:r>
              <w:rPr>
                <w:rFonts w:hint="eastAsia" w:ascii="宋体" w:hAnsi="宋体" w:eastAsia="宋体" w:cs="宋体"/>
                <w:color w:val="auto"/>
                <w:sz w:val="21"/>
                <w:szCs w:val="21"/>
                <w:highlight w:val="none"/>
                <w:lang w:val="en-US" w:eastAsia="zh-CN"/>
              </w:rPr>
              <w:t>未提供的不得分。</w:t>
            </w:r>
          </w:p>
        </w:tc>
      </w:tr>
      <w:tr w14:paraId="27ED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17" w:type="dxa"/>
            <w:noWrap w:val="0"/>
            <w:vAlign w:val="center"/>
          </w:tcPr>
          <w:p w14:paraId="09325478">
            <w:pPr>
              <w:spacing w:line="440" w:lineRule="exact"/>
              <w:jc w:val="center"/>
              <w:rPr>
                <w:rFonts w:hint="default"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5</w:t>
            </w:r>
          </w:p>
        </w:tc>
        <w:tc>
          <w:tcPr>
            <w:tcW w:w="1076" w:type="dxa"/>
            <w:noWrap w:val="0"/>
            <w:vAlign w:val="center"/>
          </w:tcPr>
          <w:p w14:paraId="275EF866">
            <w:pPr>
              <w:spacing w:line="240" w:lineRule="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服务保障</w:t>
            </w:r>
          </w:p>
        </w:tc>
        <w:tc>
          <w:tcPr>
            <w:tcW w:w="886" w:type="dxa"/>
            <w:noWrap w:val="0"/>
            <w:vAlign w:val="center"/>
          </w:tcPr>
          <w:p w14:paraId="2C33E320">
            <w:pPr>
              <w:spacing w:line="440" w:lineRule="exact"/>
              <w:jc w:val="center"/>
              <w:rPr>
                <w:rFonts w:hint="eastAsia" w:ascii="宋体" w:hAnsi="Times New Roman" w:eastAsia="宋体" w:cs="Times New Roman"/>
                <w:color w:val="auto"/>
                <w:szCs w:val="21"/>
                <w:highlight w:val="none"/>
                <w:lang w:val="en-US" w:eastAsia="zh-CN"/>
              </w:rPr>
            </w:pPr>
            <w:r>
              <w:rPr>
                <w:rFonts w:hint="eastAsia" w:ascii="宋体" w:cs="Times New Roman"/>
                <w:color w:val="auto"/>
                <w:szCs w:val="21"/>
                <w:highlight w:val="none"/>
                <w:lang w:val="en-US" w:eastAsia="zh-CN"/>
              </w:rPr>
              <w:t>5</w:t>
            </w:r>
          </w:p>
        </w:tc>
        <w:tc>
          <w:tcPr>
            <w:tcW w:w="6480" w:type="dxa"/>
            <w:noWrap w:val="0"/>
            <w:vAlign w:val="center"/>
          </w:tcPr>
          <w:p w14:paraId="040282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根据本项目特点，针对本项目需求</w:t>
            </w:r>
            <w:r>
              <w:rPr>
                <w:rFonts w:hint="eastAsia" w:ascii="宋体" w:hAnsi="宋体" w:eastAsia="宋体" w:cs="宋体"/>
                <w:color w:val="auto"/>
                <w:sz w:val="21"/>
                <w:szCs w:val="21"/>
                <w:highlight w:val="none"/>
                <w:lang w:val="en-US" w:eastAsia="zh-CN"/>
              </w:rPr>
              <w:t>提供的</w:t>
            </w:r>
            <w:r>
              <w:rPr>
                <w:rFonts w:hint="eastAsia" w:ascii="宋体" w:hAnsi="Times New Roman" w:eastAsia="宋体" w:cs="Times New Roman"/>
                <w:color w:val="auto"/>
                <w:szCs w:val="21"/>
                <w:highlight w:val="none"/>
                <w:lang w:val="en-US" w:eastAsia="zh-CN"/>
              </w:rPr>
              <w:t>服务保障方案、响应及排除故障时间、质保期限、售后维保周期、对招标人使用人员的培训计划等服务内容进行综合评审</w:t>
            </w:r>
            <w:r>
              <w:rPr>
                <w:rFonts w:hint="eastAsia" w:ascii="宋体" w:hAnsi="宋体" w:eastAsia="宋体" w:cs="宋体"/>
                <w:color w:val="auto"/>
                <w:sz w:val="21"/>
                <w:szCs w:val="21"/>
                <w:highlight w:val="none"/>
              </w:rPr>
              <w:t>，评标委员会对其方案进行评审。</w:t>
            </w:r>
          </w:p>
          <w:p w14:paraId="610728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（1）方案及保障措施内容详细完善，可行性、针对性强，完全满足本项目实施，得5分；</w:t>
            </w:r>
          </w:p>
          <w:p w14:paraId="22BA5A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（2）方案及保障措施完善，具有可行性、针对性，适合本项目实施，得4分；</w:t>
            </w:r>
          </w:p>
          <w:p w14:paraId="4EEE4E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（3）方案及保障措施存在不足，可行性、针对性需进一步完善，得3分；</w:t>
            </w:r>
          </w:p>
          <w:p w14:paraId="53438658">
            <w:pPr>
              <w:spacing w:line="240" w:lineRule="auto"/>
              <w:rPr>
                <w:rFonts w:hint="eastAsia" w:ascii="宋体" w:hAnsi="Times New Roman" w:eastAsia="宋体" w:cs="Times New Roman"/>
                <w:color w:val="auto"/>
                <w:szCs w:val="21"/>
                <w:highlight w:val="none"/>
                <w:lang w:val="en-US" w:eastAsia="zh-CN"/>
              </w:rPr>
            </w:pPr>
            <w:r>
              <w:rPr>
                <w:rFonts w:hint="eastAsia" w:ascii="宋体" w:hAnsi="宋体" w:eastAsia="宋体" w:cs="宋体"/>
                <w:color w:val="auto"/>
                <w:sz w:val="21"/>
                <w:szCs w:val="21"/>
                <w:highlight w:val="none"/>
              </w:rPr>
              <w:t>（4）</w:t>
            </w:r>
            <w:r>
              <w:rPr>
                <w:rFonts w:hint="eastAsia" w:ascii="宋体" w:hAnsi="Times New Roman" w:eastAsia="宋体" w:cs="Times New Roman"/>
                <w:color w:val="auto"/>
                <w:szCs w:val="21"/>
                <w:highlight w:val="none"/>
                <w:lang w:val="en-US" w:eastAsia="zh-CN"/>
              </w:rPr>
              <w:t>差或</w:t>
            </w:r>
            <w:r>
              <w:rPr>
                <w:rFonts w:hint="eastAsia" w:ascii="宋体" w:hAnsi="宋体" w:eastAsia="宋体" w:cs="宋体"/>
                <w:color w:val="auto"/>
                <w:sz w:val="21"/>
                <w:szCs w:val="21"/>
                <w:highlight w:val="none"/>
                <w:lang w:val="en-US" w:eastAsia="zh-CN"/>
              </w:rPr>
              <w:t>未提供的不得分</w:t>
            </w:r>
            <w:r>
              <w:rPr>
                <w:rFonts w:hint="eastAsia" w:ascii="宋体" w:hAnsi="宋体" w:eastAsia="宋体" w:cs="宋体"/>
                <w:color w:val="auto"/>
                <w:sz w:val="21"/>
                <w:szCs w:val="21"/>
                <w:highlight w:val="none"/>
              </w:rPr>
              <w:t>。</w:t>
            </w:r>
          </w:p>
        </w:tc>
      </w:tr>
    </w:tbl>
    <w:p w14:paraId="599155EC">
      <w:pPr>
        <w:spacing w:line="440" w:lineRule="exact"/>
        <w:rPr>
          <w:rFonts w:hint="eastAsia" w:ascii="宋体" w:hAnsi="Times New Roman" w:eastAsia="宋体" w:cs="Times New Roman"/>
          <w:b w:val="0"/>
          <w:bCs w:val="0"/>
          <w:color w:val="auto"/>
          <w:szCs w:val="21"/>
          <w:highlight w:val="none"/>
          <w:lang w:val="en-US" w:eastAsia="zh-CN"/>
        </w:rPr>
      </w:pPr>
      <w:r>
        <w:rPr>
          <w:rFonts w:hint="eastAsia" w:ascii="宋体" w:hAnsi="Times New Roman" w:eastAsia="宋体" w:cs="Times New Roman"/>
          <w:b w:val="0"/>
          <w:bCs w:val="0"/>
          <w:color w:val="auto"/>
          <w:szCs w:val="21"/>
          <w:highlight w:val="none"/>
          <w:lang w:val="en-US" w:eastAsia="zh-CN"/>
        </w:rPr>
        <w:t>注：（一）各评委评分的平均值为投标人技术标得分，分值保留两位小数点，第三位四舍五入。</w:t>
      </w:r>
    </w:p>
    <w:p w14:paraId="77AC3922">
      <w:pPr>
        <w:spacing w:line="440" w:lineRule="exact"/>
        <w:ind w:firstLine="420" w:firstLineChars="200"/>
        <w:rPr>
          <w:rFonts w:hint="eastAsia" w:ascii="宋体" w:hAnsi="Times New Roman" w:eastAsia="宋体" w:cs="Times New Roman"/>
          <w:b w:val="0"/>
          <w:bCs w:val="0"/>
          <w:color w:val="auto"/>
          <w:szCs w:val="21"/>
          <w:highlight w:val="none"/>
          <w:lang w:val="en-US" w:eastAsia="zh-CN"/>
        </w:rPr>
      </w:pPr>
      <w:r>
        <w:rPr>
          <w:rFonts w:hint="eastAsia" w:ascii="宋体" w:hAnsi="Times New Roman" w:eastAsia="宋体" w:cs="Times New Roman"/>
          <w:b w:val="0"/>
          <w:bCs w:val="0"/>
          <w:color w:val="auto"/>
          <w:szCs w:val="21"/>
          <w:highlight w:val="none"/>
          <w:lang w:val="en-US" w:eastAsia="zh-CN"/>
        </w:rPr>
        <w:t>（二）只有通过技术标评审的投标人才能参加商务标评分。</w:t>
      </w:r>
    </w:p>
    <w:p w14:paraId="60A84D9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6.3商务标评审细则（</w:t>
      </w:r>
      <w:r>
        <w:rPr>
          <w:rFonts w:hint="eastAsia" w:ascii="宋体" w:hAnsi="宋体" w:cs="宋体"/>
          <w:b/>
          <w:bCs/>
          <w:color w:val="auto"/>
          <w:highlight w:val="none"/>
          <w:lang w:val="en-US" w:eastAsia="zh-CN"/>
        </w:rPr>
        <w:t>65</w:t>
      </w:r>
      <w:r>
        <w:rPr>
          <w:rFonts w:hint="eastAsia" w:ascii="宋体" w:hAnsi="宋体" w:eastAsia="宋体" w:cs="宋体"/>
          <w:b/>
          <w:bCs/>
          <w:color w:val="auto"/>
          <w:highlight w:val="none"/>
        </w:rPr>
        <w:t>分）</w:t>
      </w:r>
    </w:p>
    <w:tbl>
      <w:tblPr>
        <w:tblStyle w:val="47"/>
        <w:tblpPr w:leftFromText="180" w:rightFromText="180" w:vertAnchor="text" w:horzAnchor="page" w:tblpX="1462" w:tblpY="205"/>
        <w:tblOverlap w:val="never"/>
        <w:tblW w:w="9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112"/>
        <w:gridCol w:w="1172"/>
        <w:gridCol w:w="6333"/>
      </w:tblGrid>
      <w:tr w14:paraId="5B1F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75" w:type="dxa"/>
            <w:noWrap w:val="0"/>
            <w:vAlign w:val="center"/>
          </w:tcPr>
          <w:p w14:paraId="7603EBAD">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12" w:type="dxa"/>
            <w:noWrap w:val="0"/>
            <w:vAlign w:val="center"/>
          </w:tcPr>
          <w:p w14:paraId="5B473609">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评分因素</w:t>
            </w:r>
          </w:p>
        </w:tc>
        <w:tc>
          <w:tcPr>
            <w:tcW w:w="1172" w:type="dxa"/>
            <w:noWrap w:val="0"/>
            <w:vAlign w:val="center"/>
          </w:tcPr>
          <w:p w14:paraId="0A383EBE">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分值</w:t>
            </w:r>
          </w:p>
        </w:tc>
        <w:tc>
          <w:tcPr>
            <w:tcW w:w="6333" w:type="dxa"/>
            <w:noWrap w:val="0"/>
            <w:vAlign w:val="center"/>
          </w:tcPr>
          <w:p w14:paraId="05A0185C">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评审细则</w:t>
            </w:r>
          </w:p>
        </w:tc>
      </w:tr>
      <w:tr w14:paraId="5BBD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75" w:type="dxa"/>
            <w:noWrap w:val="0"/>
            <w:vAlign w:val="center"/>
          </w:tcPr>
          <w:p w14:paraId="1443C819">
            <w:pPr>
              <w:adjustRightInd w:val="0"/>
              <w:snapToGrid w:val="0"/>
              <w:spacing w:line="360" w:lineRule="auto"/>
              <w:rPr>
                <w:rFonts w:hint="eastAsia" w:ascii="Times New Roman" w:hAnsi="宋体" w:eastAsia="宋体" w:cs="Times New Roman"/>
                <w:bCs/>
                <w:color w:val="auto"/>
                <w:szCs w:val="21"/>
                <w:highlight w:val="none"/>
                <w:lang w:val="en-US" w:eastAsia="zh-CN"/>
              </w:rPr>
            </w:pPr>
            <w:r>
              <w:rPr>
                <w:rFonts w:hint="eastAsia" w:ascii="Times New Roman" w:hAnsi="宋体" w:eastAsia="宋体" w:cs="Times New Roman"/>
                <w:bCs/>
                <w:color w:val="auto"/>
                <w:szCs w:val="21"/>
                <w:highlight w:val="none"/>
                <w:lang w:val="en-US" w:eastAsia="zh-CN"/>
              </w:rPr>
              <w:t>1</w:t>
            </w:r>
          </w:p>
        </w:tc>
        <w:tc>
          <w:tcPr>
            <w:tcW w:w="1112" w:type="dxa"/>
            <w:noWrap w:val="0"/>
            <w:vAlign w:val="center"/>
          </w:tcPr>
          <w:p w14:paraId="1C79C7C6">
            <w:pPr>
              <w:adjustRightInd w:val="0"/>
              <w:snapToGrid w:val="0"/>
              <w:spacing w:line="360" w:lineRule="auto"/>
              <w:rPr>
                <w:rFonts w:hint="eastAsia" w:ascii="Times New Roman" w:hAnsi="宋体" w:eastAsia="宋体" w:cs="Times New Roman"/>
                <w:bCs/>
                <w:color w:val="auto"/>
                <w:szCs w:val="21"/>
                <w:highlight w:val="none"/>
                <w:lang w:val="en-US" w:eastAsia="zh-CN"/>
              </w:rPr>
            </w:pPr>
            <w:r>
              <w:rPr>
                <w:rFonts w:hint="eastAsia" w:ascii="Times New Roman" w:hAnsi="宋体" w:eastAsia="宋体" w:cs="Times New Roman"/>
                <w:bCs/>
                <w:color w:val="auto"/>
                <w:szCs w:val="21"/>
                <w:highlight w:val="none"/>
                <w:lang w:val="en-US" w:eastAsia="zh-CN"/>
              </w:rPr>
              <w:t>报价</w:t>
            </w:r>
          </w:p>
        </w:tc>
        <w:tc>
          <w:tcPr>
            <w:tcW w:w="1172" w:type="dxa"/>
            <w:noWrap w:val="0"/>
            <w:vAlign w:val="center"/>
          </w:tcPr>
          <w:p w14:paraId="39DB109F">
            <w:pPr>
              <w:adjustRightInd w:val="0"/>
              <w:snapToGrid w:val="0"/>
              <w:spacing w:line="360" w:lineRule="auto"/>
              <w:jc w:val="center"/>
              <w:rPr>
                <w:rFonts w:hint="eastAsia" w:hAnsi="宋体"/>
                <w:bCs/>
                <w:color w:val="auto"/>
                <w:szCs w:val="21"/>
                <w:highlight w:val="none"/>
              </w:rPr>
            </w:pPr>
            <w:r>
              <w:rPr>
                <w:rFonts w:hint="eastAsia" w:hAnsi="宋体"/>
                <w:bCs/>
                <w:color w:val="000000" w:themeColor="text1"/>
                <w:szCs w:val="21"/>
                <w:highlight w:val="none"/>
                <w:u w:val="none"/>
                <w:lang w:val="en-US" w:eastAsia="zh-CN"/>
                <w14:textFill>
                  <w14:solidFill>
                    <w14:schemeClr w14:val="tx1"/>
                  </w14:solidFill>
                </w14:textFill>
              </w:rPr>
              <w:t>65</w:t>
            </w:r>
            <w:r>
              <w:rPr>
                <w:rFonts w:hint="eastAsia" w:hAnsi="宋体"/>
                <w:bCs/>
                <w:color w:val="auto"/>
                <w:szCs w:val="21"/>
                <w:highlight w:val="none"/>
                <w:u w:val="none"/>
              </w:rPr>
              <w:t>分</w:t>
            </w:r>
          </w:p>
        </w:tc>
        <w:tc>
          <w:tcPr>
            <w:tcW w:w="6333" w:type="dxa"/>
            <w:noWrap w:val="0"/>
            <w:vAlign w:val="center"/>
          </w:tcPr>
          <w:p w14:paraId="1F8DA6AA">
            <w:pPr>
              <w:keepNext w:val="0"/>
              <w:keepLines w:val="0"/>
              <w:pageBreakBefore w:val="0"/>
              <w:widowControl w:val="0"/>
              <w:tabs>
                <w:tab w:val="left" w:pos="1080"/>
              </w:tabs>
              <w:kinsoku/>
              <w:wordWrap w:val="0"/>
              <w:overflowPunct/>
              <w:topLinePunct w:val="0"/>
              <w:autoSpaceDE/>
              <w:autoSpaceDN/>
              <w:bidi w:val="0"/>
              <w:adjustRightInd/>
              <w:snapToGrid/>
              <w:spacing w:beforeAutospacing="0" w:afterAutospacing="0" w:line="380" w:lineRule="exact"/>
              <w:ind w:right="105"/>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设置投标报价最高限价，各投标人有效报价不得高于最高限价，否则，其投标文件按无效标处理。</w:t>
            </w:r>
          </w:p>
          <w:p w14:paraId="4037F0BE">
            <w:pPr>
              <w:pStyle w:val="2"/>
              <w:keepNext w:val="0"/>
              <w:keepLines w:val="0"/>
              <w:pageBreakBefore w:val="0"/>
              <w:widowControl w:val="0"/>
              <w:kinsoku/>
              <w:wordWrap/>
              <w:overflowPunct/>
              <w:topLinePunct w:val="0"/>
              <w:autoSpaceDE/>
              <w:autoSpaceDN/>
              <w:bidi w:val="0"/>
              <w:adjustRightInd w:val="0"/>
              <w:snapToGrid w:val="0"/>
              <w:spacing w:after="0" w:afterLines="0" w:line="38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商务标评分按下列步骤计算：</w:t>
            </w:r>
          </w:p>
          <w:p w14:paraId="0A0DD8B7">
            <w:pPr>
              <w:pStyle w:val="2"/>
              <w:keepNext w:val="0"/>
              <w:keepLines w:val="0"/>
              <w:pageBreakBefore w:val="0"/>
              <w:widowControl w:val="0"/>
              <w:kinsoku/>
              <w:wordWrap/>
              <w:overflowPunct/>
              <w:topLinePunct w:val="0"/>
              <w:autoSpaceDE/>
              <w:autoSpaceDN/>
              <w:bidi w:val="0"/>
              <w:adjustRightInd w:val="0"/>
              <w:snapToGrid w:val="0"/>
              <w:spacing w:after="0" w:afterLines="0" w:line="38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第一步：计算B值。</w:t>
            </w:r>
          </w:p>
          <w:p w14:paraId="0D5160E0">
            <w:pPr>
              <w:pStyle w:val="2"/>
              <w:keepNext w:val="0"/>
              <w:keepLines w:val="0"/>
              <w:pageBreakBefore w:val="0"/>
              <w:widowControl w:val="0"/>
              <w:kinsoku/>
              <w:wordWrap/>
              <w:overflowPunct/>
              <w:topLinePunct w:val="0"/>
              <w:autoSpaceDE/>
              <w:autoSpaceDN/>
              <w:bidi w:val="0"/>
              <w:adjustRightInd w:val="0"/>
              <w:snapToGrid w:val="0"/>
              <w:spacing w:after="0" w:afterLines="0" w:line="38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①B值为所有有效投标人的投标总报价的算术平均值。</w:t>
            </w:r>
          </w:p>
          <w:p w14:paraId="74B95375">
            <w:pPr>
              <w:pStyle w:val="2"/>
              <w:keepNext w:val="0"/>
              <w:keepLines w:val="0"/>
              <w:pageBreakBefore w:val="0"/>
              <w:widowControl w:val="0"/>
              <w:kinsoku/>
              <w:wordWrap/>
              <w:overflowPunct/>
              <w:topLinePunct w:val="0"/>
              <w:autoSpaceDE/>
              <w:autoSpaceDN/>
              <w:bidi w:val="0"/>
              <w:adjustRightInd w:val="0"/>
              <w:snapToGrid w:val="0"/>
              <w:spacing w:after="0" w:afterLines="0" w:line="38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第二步：计算评标基准价F值。</w:t>
            </w:r>
          </w:p>
          <w:p w14:paraId="14B4EBFF">
            <w:pPr>
              <w:pStyle w:val="2"/>
              <w:keepNext w:val="0"/>
              <w:keepLines w:val="0"/>
              <w:pageBreakBefore w:val="0"/>
              <w:widowControl w:val="0"/>
              <w:kinsoku/>
              <w:wordWrap/>
              <w:overflowPunct/>
              <w:topLinePunct w:val="0"/>
              <w:autoSpaceDE/>
              <w:autoSpaceDN/>
              <w:bidi w:val="0"/>
              <w:adjustRightInd w:val="0"/>
              <w:snapToGrid w:val="0"/>
              <w:spacing w:after="0" w:afterLines="0" w:line="38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①F=B×（1-K），其中K为调整系数，K的取值为-0.5%（1号），0%（2号），0.5%（3号），1.0%（4号），1.5%（5号）。</w:t>
            </w:r>
          </w:p>
          <w:p w14:paraId="677A805E">
            <w:pPr>
              <w:pStyle w:val="2"/>
              <w:keepNext w:val="0"/>
              <w:keepLines w:val="0"/>
              <w:pageBreakBefore w:val="0"/>
              <w:widowControl w:val="0"/>
              <w:kinsoku/>
              <w:wordWrap/>
              <w:overflowPunct/>
              <w:topLinePunct w:val="0"/>
              <w:autoSpaceDE/>
              <w:autoSpaceDN/>
              <w:bidi w:val="0"/>
              <w:adjustRightInd w:val="0"/>
              <w:snapToGrid w:val="0"/>
              <w:spacing w:after="0" w:afterLines="0" w:line="38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第三步：计算报价偏差率。</w:t>
            </w:r>
          </w:p>
          <w:p w14:paraId="53330CEF">
            <w:pPr>
              <w:pStyle w:val="2"/>
              <w:keepNext w:val="0"/>
              <w:keepLines w:val="0"/>
              <w:pageBreakBefore w:val="0"/>
              <w:widowControl w:val="0"/>
              <w:kinsoku/>
              <w:wordWrap/>
              <w:overflowPunct/>
              <w:topLinePunct w:val="0"/>
              <w:autoSpaceDE/>
              <w:autoSpaceDN/>
              <w:bidi w:val="0"/>
              <w:adjustRightInd w:val="0"/>
              <w:snapToGrid w:val="0"/>
              <w:spacing w:after="0" w:afterLines="0" w:line="38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①偏差率=|（投标报价-评标基准价）/评标基准价|×100%</w:t>
            </w:r>
          </w:p>
          <w:p w14:paraId="31E2EEB6">
            <w:pPr>
              <w:pStyle w:val="2"/>
              <w:keepNext w:val="0"/>
              <w:keepLines w:val="0"/>
              <w:pageBreakBefore w:val="0"/>
              <w:widowControl w:val="0"/>
              <w:kinsoku/>
              <w:wordWrap/>
              <w:overflowPunct/>
              <w:topLinePunct w:val="0"/>
              <w:autoSpaceDE/>
              <w:autoSpaceDN/>
              <w:bidi w:val="0"/>
              <w:adjustRightInd w:val="0"/>
              <w:snapToGrid w:val="0"/>
              <w:spacing w:after="0" w:afterLines="0" w:line="38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第四步：计算报价得分</w:t>
            </w:r>
          </w:p>
          <w:p w14:paraId="75EE5CCA">
            <w:pPr>
              <w:pStyle w:val="2"/>
              <w:keepNext w:val="0"/>
              <w:keepLines w:val="0"/>
              <w:pageBreakBefore w:val="0"/>
              <w:widowControl w:val="0"/>
              <w:kinsoku/>
              <w:wordWrap/>
              <w:overflowPunct/>
              <w:topLinePunct w:val="0"/>
              <w:autoSpaceDE/>
              <w:autoSpaceDN/>
              <w:bidi w:val="0"/>
              <w:adjustRightInd w:val="0"/>
              <w:snapToGrid w:val="0"/>
              <w:spacing w:after="0" w:afterLines="0" w:line="38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①投标报价等于评标基准价的得满分。</w:t>
            </w:r>
          </w:p>
          <w:p w14:paraId="496FC5D5">
            <w:pPr>
              <w:pStyle w:val="2"/>
              <w:keepNext w:val="0"/>
              <w:keepLines w:val="0"/>
              <w:pageBreakBefore w:val="0"/>
              <w:widowControl w:val="0"/>
              <w:kinsoku/>
              <w:wordWrap/>
              <w:overflowPunct/>
              <w:topLinePunct w:val="0"/>
              <w:autoSpaceDE/>
              <w:autoSpaceDN/>
              <w:bidi w:val="0"/>
              <w:adjustRightInd w:val="0"/>
              <w:snapToGrid w:val="0"/>
              <w:spacing w:after="0" w:afterLines="0" w:line="38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②投标报价高于评标基准价的，投标报价得分=报价满分值-偏差率×100×1</w:t>
            </w:r>
          </w:p>
          <w:p w14:paraId="3B05D85D">
            <w:pPr>
              <w:pStyle w:val="2"/>
              <w:keepNext w:val="0"/>
              <w:keepLines w:val="0"/>
              <w:pageBreakBefore w:val="0"/>
              <w:widowControl w:val="0"/>
              <w:kinsoku/>
              <w:wordWrap/>
              <w:overflowPunct/>
              <w:topLinePunct w:val="0"/>
              <w:autoSpaceDE/>
              <w:autoSpaceDN/>
              <w:bidi w:val="0"/>
              <w:adjustRightInd w:val="0"/>
              <w:snapToGrid w:val="0"/>
              <w:spacing w:after="0" w:afterLines="0" w:line="38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③投标报价低于评标基准价的，投标报价得分=报价满分值-偏差率×100×0.5</w:t>
            </w:r>
          </w:p>
          <w:p w14:paraId="1A5A8F88">
            <w:pPr>
              <w:keepNext w:val="0"/>
              <w:keepLines w:val="0"/>
              <w:pageBreakBefore w:val="0"/>
              <w:widowControl w:val="0"/>
              <w:kinsoku/>
              <w:overflowPunct/>
              <w:topLinePunct w:val="0"/>
              <w:autoSpaceDE/>
              <w:autoSpaceDN/>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注：计算过程中，B值、评标基准价F值、偏差率、报价得分均保留两位小数，小数点后第三位四舍五入。</w:t>
            </w:r>
          </w:p>
          <w:p w14:paraId="5E216CA9">
            <w:pPr>
              <w:keepNext w:val="0"/>
              <w:keepLines w:val="0"/>
              <w:pageBreakBefore w:val="0"/>
              <w:widowControl w:val="0"/>
              <w:tabs>
                <w:tab w:val="left" w:pos="1080"/>
              </w:tabs>
              <w:kinsoku/>
              <w:overflowPunct/>
              <w:topLinePunct w:val="0"/>
              <w:autoSpaceDE/>
              <w:autoSpaceDN/>
              <w:bidi w:val="0"/>
              <w:spacing w:line="380" w:lineRule="exact"/>
              <w:jc w:val="left"/>
              <w:textAlignment w:val="auto"/>
              <w:rPr>
                <w:color w:val="auto"/>
                <w:highlight w:val="none"/>
              </w:rPr>
            </w:pPr>
            <w:r>
              <w:rPr>
                <w:rFonts w:hint="eastAsia" w:ascii="宋体" w:hAnsi="宋体" w:eastAsia="宋体" w:cs="宋体"/>
                <w:color w:val="auto"/>
                <w:sz w:val="21"/>
                <w:szCs w:val="21"/>
                <w:highlight w:val="none"/>
              </w:rPr>
              <w:t>本项分值由评标委员会负责组织计算。</w:t>
            </w:r>
          </w:p>
        </w:tc>
      </w:tr>
    </w:tbl>
    <w:p w14:paraId="43F4D80F">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szCs w:val="21"/>
          <w:highlight w:val="none"/>
        </w:rPr>
      </w:pPr>
      <w:r>
        <w:rPr>
          <w:rFonts w:hint="eastAsia" w:ascii="宋体" w:hAnsi="宋体" w:cs="宋体"/>
          <w:b/>
          <w:szCs w:val="21"/>
          <w:highlight w:val="none"/>
        </w:rPr>
        <w:t>商务标评审表注：</w:t>
      </w:r>
    </w:p>
    <w:p w14:paraId="32481F82">
      <w:pPr>
        <w:keepNext w:val="0"/>
        <w:keepLines w:val="0"/>
        <w:pageBreakBefore w:val="0"/>
        <w:widowControl w:val="0"/>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rPr>
        <w:t>只有通过资格性审查</w:t>
      </w:r>
      <w:r>
        <w:rPr>
          <w:rFonts w:hint="eastAsia" w:ascii="宋体" w:hAnsi="宋体" w:cs="宋体"/>
          <w:color w:val="auto"/>
          <w:szCs w:val="21"/>
          <w:lang w:eastAsia="zh-CN"/>
        </w:rPr>
        <w:t>、符合性审查</w:t>
      </w:r>
      <w:r>
        <w:rPr>
          <w:rFonts w:hint="eastAsia" w:ascii="宋体" w:hAnsi="宋体" w:eastAsia="宋体" w:cs="宋体"/>
          <w:color w:val="auto"/>
          <w:szCs w:val="21"/>
        </w:rPr>
        <w:t>的投标人才能参加评分。</w:t>
      </w:r>
    </w:p>
    <w:p w14:paraId="786F412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本表所称投标报价是指按招标文件规定修正后的投标总报价（多算投标报价、多报费用不扣减），报价以元为单位，保留两位小数，小数点后第三位四舍五入。</w:t>
      </w:r>
    </w:p>
    <w:p w14:paraId="0BD593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rPr>
        <w:t>K值的抽取：资信标、</w:t>
      </w:r>
      <w:r>
        <w:rPr>
          <w:rFonts w:hint="eastAsia" w:ascii="宋体" w:hAnsi="宋体" w:cs="宋体"/>
          <w:color w:val="auto"/>
          <w:szCs w:val="21"/>
          <w:lang w:val="en-US" w:eastAsia="zh-CN"/>
        </w:rPr>
        <w:t>技术标、</w:t>
      </w:r>
      <w:r>
        <w:rPr>
          <w:rFonts w:hint="eastAsia" w:ascii="宋体" w:hAnsi="宋体" w:eastAsia="宋体" w:cs="宋体"/>
          <w:color w:val="auto"/>
          <w:szCs w:val="21"/>
        </w:rPr>
        <w:t>商务标详细评审完成后，招标人抽取K值，并根据抽取的K值计算F值。</w:t>
      </w:r>
      <w:r>
        <w:rPr>
          <w:rFonts w:hint="eastAsia" w:ascii="宋体" w:hAnsi="宋体" w:eastAsia="宋体" w:cs="宋体"/>
          <w:b/>
          <w:color w:val="auto"/>
          <w:szCs w:val="21"/>
        </w:rPr>
        <w:t>评标办法中的评标基准价计算出来后，除数字计算错误外，其他情况均不再调整。</w:t>
      </w:r>
    </w:p>
    <w:p w14:paraId="52A395EC">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五、推荐中标候选人</w:t>
      </w:r>
    </w:p>
    <w:p w14:paraId="18618A3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7.评标委员会按技术标和商务标得分之和，从高到低按顺序推荐3名中标候选人。</w:t>
      </w:r>
    </w:p>
    <w:p w14:paraId="42A36EA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7.1如总得分相等，以投标报价低的优先，投标报价仍相等由招标人随机抽取确定排名。</w:t>
      </w:r>
    </w:p>
    <w:p w14:paraId="5972445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8.无效投标条款</w:t>
      </w:r>
    </w:p>
    <w:p w14:paraId="4D6AEB0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8.1投标人存在下列情形的招标人将拒收投标文件：</w:t>
      </w:r>
    </w:p>
    <w:p w14:paraId="7FDFB16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 未在投标截止时间前递交投标文件的，投标将被拒绝。</w:t>
      </w:r>
    </w:p>
    <w:p w14:paraId="1E68418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8.2其他无效投标情况：</w:t>
      </w:r>
    </w:p>
    <w:p w14:paraId="15441A2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00F6F38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（2）投标人有串通投标、视为串通投标、弄虚作假、行贿等违法行为。</w:t>
      </w:r>
    </w:p>
    <w:p w14:paraId="01FBEA8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（3）投标文件没有对招标文件的实质性要求和条件作出响应。</w:t>
      </w:r>
    </w:p>
    <w:p w14:paraId="1DF1F37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（4）未按规定的格式填写导致实质性内容不全以及实质上不响应，或者关键字迹模糊、无法辨认；经公共资源交易监督部门核准的。</w:t>
      </w:r>
    </w:p>
    <w:p w14:paraId="475D60E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（5）同一投标人提交两个以上不同的投标文件或者投标报价，但招标文件规定提交备选投标的除外。</w:t>
      </w:r>
    </w:p>
    <w:p w14:paraId="178BF7F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（6）投标文件中存在招标人不能接受的其他实质性条件。</w:t>
      </w:r>
    </w:p>
    <w:p w14:paraId="041B283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（7）投标人拒不按照要求对投标文件进行澄清、说明、补正的，或评标委员会根据招标文件的规定对招标文件的计算错误进行修正后，投标人不接受修正的投标报价的。</w:t>
      </w:r>
    </w:p>
    <w:p w14:paraId="7782D56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（8）投标人单方面出现其他投标人材料。</w:t>
      </w:r>
    </w:p>
    <w:p w14:paraId="10C1D07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（9）法律、法规规定的其他情形。</w:t>
      </w:r>
    </w:p>
    <w:p w14:paraId="219AEEA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9.投标文件的澄清和补正</w:t>
      </w:r>
    </w:p>
    <w:p w14:paraId="731CE46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5E2D6C9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9.2澄清、说明和补正不得改变投标文件的实质性内容（算术性错误修正的除外）。投标人的书面澄清、说明和补正属于投标文件的组成部分。</w:t>
      </w:r>
    </w:p>
    <w:p w14:paraId="7DA5F9C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9.3评标委员会对投标人提交的澄清、说明和补正有疑问的，可以要求投标人进一步澄清、说明或补正、直至满足评标委员会的要求。</w:t>
      </w:r>
    </w:p>
    <w:p w14:paraId="450AE72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按照投标文件规定进行澄清、补正后的投标报价经投标人的法定代表人或其委托代理人确认后即为该投标人的最终投标报价。投标人一旦中标，此报价即为中标价。</w:t>
      </w:r>
    </w:p>
    <w:p w14:paraId="0245C68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bookmarkStart w:id="19" w:name="_Toc95223440"/>
      <w:r>
        <w:rPr>
          <w:rFonts w:hint="eastAsia" w:ascii="宋体"/>
          <w:color w:val="auto"/>
          <w:szCs w:val="21"/>
          <w:highlight w:val="none"/>
          <w:lang w:val="en-US" w:eastAsia="zh-CN"/>
        </w:rPr>
        <w:t>10.评分标准</w:t>
      </w:r>
      <w:bookmarkEnd w:id="19"/>
    </w:p>
    <w:p w14:paraId="53C18FA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10.1评分标准：见资信、商务评分表。</w:t>
      </w:r>
    </w:p>
    <w:p w14:paraId="756EAF6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11.评审结果</w:t>
      </w:r>
    </w:p>
    <w:p w14:paraId="1AB6CC7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11.1评标委员会按照总得分由高到低顺序推荐中标候选人。</w:t>
      </w:r>
    </w:p>
    <w:p w14:paraId="062E9CE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11.2评标委员会完成评标后，应当向招标人提交书面评标报告。评标报告应当如实记载以下内容：</w:t>
      </w:r>
    </w:p>
    <w:p w14:paraId="4A292FA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（1）基本情况和数据表。</w:t>
      </w:r>
    </w:p>
    <w:p w14:paraId="1AA4195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（2）评标委员会成员名单。</w:t>
      </w:r>
    </w:p>
    <w:p w14:paraId="74FCD41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（3）开标记录。</w:t>
      </w:r>
    </w:p>
    <w:p w14:paraId="4485DAD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（4）符合要求的投标人一览表。</w:t>
      </w:r>
    </w:p>
    <w:p w14:paraId="0F49FE2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（5）否决投标情况说明。</w:t>
      </w:r>
    </w:p>
    <w:p w14:paraId="606E95A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（6）评标标准、评标方法或者评标因素。</w:t>
      </w:r>
    </w:p>
    <w:p w14:paraId="22FD797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（7）评标情况一览表。</w:t>
      </w:r>
    </w:p>
    <w:p w14:paraId="115242A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（8）经评审的投标人排序。</w:t>
      </w:r>
    </w:p>
    <w:p w14:paraId="54F3F9F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（9）推荐的中标候选人名单与签订合同前要处理的事宜。</w:t>
      </w:r>
    </w:p>
    <w:p w14:paraId="2D31671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（10）澄清、说明、补正事项纪要。</w:t>
      </w:r>
    </w:p>
    <w:p w14:paraId="60A42A2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C8DF97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7EB3AAE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12.其他</w:t>
      </w:r>
    </w:p>
    <w:p w14:paraId="72A9740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投标人提供的与投标文件有关的各类证书、证明、文件、资料等的真实性、合法性由投标人负全责。</w:t>
      </w:r>
    </w:p>
    <w:bookmarkEnd w:id="8"/>
    <w:bookmarkEnd w:id="9"/>
    <w:bookmarkEnd w:id="10"/>
    <w:p w14:paraId="4023857B">
      <w:pPr>
        <w:pStyle w:val="6"/>
        <w:numPr>
          <w:ilvl w:val="0"/>
          <w:numId w:val="0"/>
        </w:numPr>
        <w:jc w:val="center"/>
        <w:rPr>
          <w:rFonts w:hint="default" w:ascii="宋体" w:hAnsi="宋体" w:eastAsia="宋体" w:cs="宋体"/>
          <w:b/>
          <w:bCs/>
          <w:color w:val="auto"/>
          <w:kern w:val="44"/>
          <w:sz w:val="28"/>
          <w:szCs w:val="28"/>
          <w:highlight w:val="none"/>
          <w:lang w:val="en-US" w:eastAsia="zh-CN" w:bidi="ar-SA"/>
        </w:rPr>
      </w:pPr>
      <w:bookmarkStart w:id="20" w:name="_Toc909"/>
      <w:bookmarkStart w:id="21" w:name="_Toc77262196"/>
      <w:r>
        <w:rPr>
          <w:rFonts w:hint="eastAsia" w:ascii="宋体" w:hAnsi="宋体" w:eastAsia="宋体" w:cs="宋体"/>
          <w:b/>
          <w:bCs/>
          <w:color w:val="auto"/>
          <w:sz w:val="28"/>
          <w:szCs w:val="28"/>
          <w:highlight w:val="none"/>
          <w:lang w:val="en-US" w:eastAsia="zh-CN"/>
        </w:rPr>
        <w:t xml:space="preserve">第三章  </w:t>
      </w:r>
      <w:bookmarkEnd w:id="20"/>
      <w:r>
        <w:rPr>
          <w:rFonts w:hint="eastAsia" w:ascii="宋体" w:hAnsi="宋体" w:eastAsia="宋体" w:cs="宋体"/>
          <w:b/>
          <w:bCs/>
          <w:color w:val="auto"/>
          <w:sz w:val="28"/>
          <w:szCs w:val="28"/>
          <w:highlight w:val="none"/>
          <w:lang w:val="en-US" w:eastAsia="zh-CN"/>
        </w:rPr>
        <w:t>采购清单</w:t>
      </w:r>
    </w:p>
    <w:p w14:paraId="26799B26">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滁州亭城玺悦里营销中心沙盘、品牌墙清单、最高限价</w:t>
      </w:r>
    </w:p>
    <w:tbl>
      <w:tblPr>
        <w:tblStyle w:val="47"/>
        <w:tblW w:w="10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5415"/>
        <w:gridCol w:w="703"/>
        <w:gridCol w:w="924"/>
        <w:gridCol w:w="924"/>
        <w:gridCol w:w="1104"/>
        <w:gridCol w:w="984"/>
      </w:tblGrid>
      <w:tr w14:paraId="4DB6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blHeader/>
          <w:jc w:val="center"/>
        </w:trPr>
        <w:tc>
          <w:tcPr>
            <w:tcW w:w="6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6561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详细要求</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72C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58D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尺寸</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096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单位</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75B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单价最高限价（元）</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78F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总价（元）</w:t>
            </w:r>
          </w:p>
        </w:tc>
      </w:tr>
      <w:tr w14:paraId="03D6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blHeader/>
          <w:jc w:val="center"/>
        </w:trPr>
        <w:tc>
          <w:tcPr>
            <w:tcW w:w="6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C69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主沙盘模型</w:t>
            </w:r>
          </w:p>
        </w:tc>
        <w:tc>
          <w:tcPr>
            <w:tcW w:w="46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34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各项明细</w:t>
            </w:r>
          </w:p>
        </w:tc>
      </w:tr>
      <w:tr w14:paraId="262F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758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项</w:t>
            </w:r>
          </w:p>
          <w:p w14:paraId="2B9ACF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目</w:t>
            </w:r>
          </w:p>
          <w:p w14:paraId="52FC87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沙</w:t>
            </w:r>
          </w:p>
          <w:p w14:paraId="2E84AB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盘</w:t>
            </w:r>
          </w:p>
          <w:p w14:paraId="15625F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材</w:t>
            </w:r>
          </w:p>
          <w:p w14:paraId="62E96D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CAC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建筑部分</w:t>
            </w:r>
          </w:p>
          <w:p w14:paraId="131CE0F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建筑骨架：采用复合ABS高分子聚碳板，材质坚韧，不变形，能有效提高建筑单体外型的挺直度。</w:t>
            </w:r>
          </w:p>
          <w:p w14:paraId="191B2918">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门窗玻璃：采用镀膜玻璃，通透感强，色泽高档，泛光均匀</w:t>
            </w:r>
          </w:p>
          <w:p w14:paraId="361803D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灯光：采用led光源，层板叠加编程灯光自然白LED光源（拖尾灯光），内部隔墙板布银工艺、地板采用木色地板制作，吊顶灯光使建筑光源更加饱满柔和视觉感更优。</w:t>
            </w:r>
          </w:p>
          <w:p w14:paraId="788F523A">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建筑立面颜色：采用汽车专用金属面漆，硬度高，不褪色还原度高，增强建筑细致部分金属质感。</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AF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1/套</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8C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2.14m*3.7m</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55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6E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b/>
                <w:bCs/>
                <w:i w:val="0"/>
                <w:iCs w:val="0"/>
                <w:color w:val="000000"/>
                <w:sz w:val="16"/>
                <w:szCs w:val="16"/>
                <w:u w:val="none"/>
                <w:lang w:val="en-US"/>
              </w:rPr>
            </w:pPr>
            <w:r>
              <w:rPr>
                <w:rFonts w:hint="eastAsia" w:ascii="微软雅黑" w:hAnsi="微软雅黑" w:eastAsia="微软雅黑" w:cs="微软雅黑"/>
                <w:b/>
                <w:bCs/>
                <w:i w:val="0"/>
                <w:iCs w:val="0"/>
                <w:color w:val="000000"/>
                <w:kern w:val="0"/>
                <w:sz w:val="16"/>
                <w:szCs w:val="16"/>
                <w:u w:val="none"/>
                <w:lang w:val="en-US" w:eastAsia="zh-CN" w:bidi="ar"/>
              </w:rPr>
              <w:t>8268</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6E6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微软雅黑" w:hAnsi="微软雅黑" w:eastAsia="微软雅黑" w:cs="微软雅黑"/>
                <w:b/>
                <w:bCs/>
                <w:i w:val="0"/>
                <w:iCs w:val="0"/>
                <w:color w:val="000000"/>
                <w:sz w:val="16"/>
                <w:szCs w:val="16"/>
                <w:u w:val="none"/>
                <w:lang w:val="en-US" w:eastAsia="zh-CN"/>
              </w:rPr>
            </w:pPr>
            <w:r>
              <w:rPr>
                <w:rFonts w:hint="eastAsia" w:ascii="微软雅黑" w:hAnsi="微软雅黑" w:eastAsia="微软雅黑" w:cs="微软雅黑"/>
                <w:b/>
                <w:bCs/>
                <w:i w:val="0"/>
                <w:iCs w:val="0"/>
                <w:color w:val="000000"/>
                <w:sz w:val="16"/>
                <w:szCs w:val="16"/>
                <w:u w:val="none"/>
                <w:lang w:val="en-US" w:eastAsia="zh-CN"/>
              </w:rPr>
              <w:t>65466.02</w:t>
            </w:r>
          </w:p>
        </w:tc>
      </w:tr>
      <w:tr w14:paraId="0AC9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3BCC">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b/>
                <w:bCs/>
                <w:i w:val="0"/>
                <w:iCs w:val="0"/>
                <w:color w:val="000000"/>
                <w:sz w:val="16"/>
                <w:szCs w:val="16"/>
                <w:u w:val="none"/>
              </w:rPr>
            </w:pP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FE0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景观部分</w:t>
            </w:r>
          </w:p>
          <w:p w14:paraId="6A5FDE5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铺装地面：智能UV打印技术，还原铺装立体感及品质感，丰富多彩，逼真。</w:t>
            </w:r>
          </w:p>
          <w:p w14:paraId="44D75EB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草地：仿马皮，质感好，烘托沙盘调性。</w:t>
            </w:r>
          </w:p>
          <w:p w14:paraId="3B77B9BD">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树木绿化：手工铁丝树+蚕丝，新型蚕丝树，树形优美、树叶饱满保证整体的模型的调性、艺术素雅的格调。</w:t>
            </w:r>
          </w:p>
          <w:p w14:paraId="7BCF531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马路：不锈钢材质，通过车道线、斑马线的灯光烘托项目整体的高端调性。</w:t>
            </w:r>
          </w:p>
          <w:p w14:paraId="2A4FE1D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外围空地：仿真草皮/镜面、金属制作，并制作发光LOGO，呈现高档、整洁的效果，重点烘托本案，提升沙盘的城市品质感。</w:t>
            </w:r>
          </w:p>
          <w:p w14:paraId="2097792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水系：采用最新工艺，倒梯式叠水，水面喷滴胶水，整体效果水面逼真，有层次。</w:t>
            </w:r>
          </w:p>
          <w:p w14:paraId="4B68EB4C">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沙盘整体包边采用金属材质处理，简洁大方，项目及区位分离式展示。</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A9F5">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val="0"/>
                <w:iCs w:val="0"/>
                <w:color w:val="000000"/>
                <w:sz w:val="16"/>
                <w:szCs w:val="16"/>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31A7">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val="0"/>
                <w:iCs w:val="0"/>
                <w:color w:val="000000"/>
                <w:sz w:val="16"/>
                <w:szCs w:val="16"/>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E3BF">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val="0"/>
                <w:iCs w:val="0"/>
                <w:color w:val="000000"/>
                <w:sz w:val="16"/>
                <w:szCs w:val="16"/>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2D90">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val="0"/>
                <w:iCs w:val="0"/>
                <w:color w:val="000000"/>
                <w:sz w:val="16"/>
                <w:szCs w:val="16"/>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57D4C">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val="0"/>
                <w:iCs w:val="0"/>
                <w:color w:val="000000"/>
                <w:sz w:val="16"/>
                <w:szCs w:val="16"/>
                <w:u w:val="none"/>
              </w:rPr>
            </w:pPr>
          </w:p>
        </w:tc>
      </w:tr>
      <w:tr w14:paraId="0C46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5C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真水雾森系统</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19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36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0E93">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val="0"/>
                <w:iCs w:val="0"/>
                <w:color w:val="000000"/>
                <w:sz w:val="16"/>
                <w:szCs w:val="16"/>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06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ED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b/>
                <w:bCs/>
                <w:i w:val="0"/>
                <w:iCs w:val="0"/>
                <w:color w:val="000000"/>
                <w:sz w:val="16"/>
                <w:szCs w:val="16"/>
                <w:u w:val="none"/>
                <w:lang w:val="en-US"/>
              </w:rPr>
            </w:pPr>
            <w:r>
              <w:rPr>
                <w:rFonts w:hint="eastAsia" w:ascii="微软雅黑" w:hAnsi="微软雅黑" w:eastAsia="微软雅黑" w:cs="微软雅黑"/>
                <w:b/>
                <w:bCs/>
                <w:i w:val="0"/>
                <w:iCs w:val="0"/>
                <w:color w:val="000000"/>
                <w:kern w:val="0"/>
                <w:sz w:val="16"/>
                <w:szCs w:val="16"/>
                <w:u w:val="none"/>
                <w:lang w:val="en-US" w:eastAsia="zh-CN" w:bidi="ar"/>
              </w:rPr>
              <w:t>21200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3E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b/>
                <w:bCs/>
                <w:i w:val="0"/>
                <w:iCs w:val="0"/>
                <w:color w:val="000000"/>
                <w:sz w:val="16"/>
                <w:szCs w:val="16"/>
                <w:u w:val="none"/>
                <w:lang w:val="en-US"/>
              </w:rPr>
            </w:pPr>
            <w:r>
              <w:rPr>
                <w:rFonts w:hint="eastAsia" w:ascii="微软雅黑" w:hAnsi="微软雅黑" w:eastAsia="微软雅黑" w:cs="微软雅黑"/>
                <w:b/>
                <w:bCs/>
                <w:i w:val="0"/>
                <w:iCs w:val="0"/>
                <w:color w:val="000000"/>
                <w:kern w:val="0"/>
                <w:sz w:val="16"/>
                <w:szCs w:val="16"/>
                <w:u w:val="none"/>
                <w:lang w:val="en-US" w:eastAsia="zh-CN" w:bidi="ar"/>
              </w:rPr>
              <w:t>21200</w:t>
            </w:r>
          </w:p>
        </w:tc>
      </w:tr>
      <w:tr w14:paraId="4411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78B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区</w:t>
            </w:r>
          </w:p>
          <w:p w14:paraId="2670C2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位</w:t>
            </w:r>
          </w:p>
          <w:p w14:paraId="322FE5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项</w:t>
            </w:r>
          </w:p>
          <w:p w14:paraId="47A5EE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目</w:t>
            </w:r>
          </w:p>
          <w:p w14:paraId="49675F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材</w:t>
            </w:r>
          </w:p>
          <w:p w14:paraId="6B1FAC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质</w:t>
            </w:r>
          </w:p>
        </w:tc>
        <w:tc>
          <w:tcPr>
            <w:tcW w:w="100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03B4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区位项目沙盘尺寸</w:t>
            </w:r>
          </w:p>
        </w:tc>
      </w:tr>
      <w:tr w14:paraId="6F05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8" w:hRule="atLeast"/>
          <w:tblHeader/>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1F6C">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b/>
                <w:bCs/>
                <w:i w:val="0"/>
                <w:iCs w:val="0"/>
                <w:color w:val="000000"/>
                <w:sz w:val="16"/>
                <w:szCs w:val="16"/>
                <w:u w:val="none"/>
              </w:rPr>
            </w:pP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5BB1">
            <w:pPr>
              <w:keepNext w:val="0"/>
              <w:keepLines w:val="0"/>
              <w:pageBreakBefore w:val="0"/>
              <w:widowControl/>
              <w:suppressLineNumbers w:val="0"/>
              <w:kinsoku/>
              <w:wordWrap/>
              <w:overflowPunct/>
              <w:topLinePunct w:val="0"/>
              <w:autoSpaceDE/>
              <w:autoSpaceDN/>
              <w:bidi w:val="0"/>
              <w:adjustRightInd/>
              <w:snapToGrid/>
              <w:spacing w:after="160" w:afterAutospacing="0" w:line="240" w:lineRule="atLeast"/>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本案比例1：800,重点配套适当放大体现，其他配套实时缩放。备注：</w:t>
            </w:r>
          </w:p>
          <w:p w14:paraId="60970521">
            <w:pPr>
              <w:keepNext w:val="0"/>
              <w:keepLines w:val="0"/>
              <w:pageBreakBefore w:val="0"/>
              <w:widowControl/>
              <w:suppressLineNumbers w:val="0"/>
              <w:kinsoku/>
              <w:wordWrap/>
              <w:overflowPunct/>
              <w:topLinePunct w:val="0"/>
              <w:autoSpaceDE/>
              <w:autoSpaceDN/>
              <w:bidi w:val="0"/>
              <w:adjustRightInd/>
              <w:snapToGrid/>
              <w:spacing w:after="160" w:afterAutospacing="0" w:line="240" w:lineRule="atLeast"/>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1、此沙盘主要体现项目本案周边重点配套以及相应的地理位置，目的是为了更好地进行项目展示，提升项目溢价，增加客户购买欲。</w:t>
            </w:r>
          </w:p>
          <w:p w14:paraId="25F7D410">
            <w:pPr>
              <w:keepNext w:val="0"/>
              <w:keepLines w:val="0"/>
              <w:pageBreakBefore w:val="0"/>
              <w:widowControl/>
              <w:suppressLineNumbers w:val="0"/>
              <w:kinsoku/>
              <w:wordWrap/>
              <w:overflowPunct/>
              <w:topLinePunct w:val="0"/>
              <w:autoSpaceDE/>
              <w:autoSpaceDN/>
              <w:bidi w:val="0"/>
              <w:adjustRightInd/>
              <w:snapToGrid/>
              <w:spacing w:after="160" w:afterAutospacing="0"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2、本案放大写实制作；周边重点配套（学校、商业、银行，水系，生态景点）及重要路网等适当放大写实制作</w:t>
            </w:r>
            <w:r>
              <w:rPr>
                <w:rStyle w:val="158"/>
                <w:lang w:val="en-US" w:eastAsia="zh-CN" w:bidi="ar"/>
              </w:rPr>
              <w:t>。</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265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13.172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33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3.56m*3.7m</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A4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87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4134</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A51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54453.05</w:t>
            </w:r>
          </w:p>
        </w:tc>
      </w:tr>
      <w:tr w14:paraId="454A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E91BF">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b/>
                <w:bCs/>
                <w:i w:val="0"/>
                <w:iCs w:val="0"/>
                <w:color w:val="000000"/>
                <w:sz w:val="16"/>
                <w:szCs w:val="16"/>
                <w:u w:val="none"/>
              </w:rPr>
            </w:pP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B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景观灯光：将设置草皮灯、广场流动灯、地下车库入口流动灯、植物射灯等，并用丰富多彩光电效果处理，如草丛、树下安 装绿色灯、花丛内安装彩色灯、路灯安装白色灯、广场安装白色流动灯光等。 景观水系：项目内部水系采用蓝底仿真水工艺效果表现，并结合德国进口水纹玻璃，将整个水面设置成波光粼粼、微波荡漾的 水景效果</w:t>
            </w:r>
            <w:r>
              <w:rPr>
                <w:rStyle w:val="158"/>
                <w:lang w:val="en-US" w:eastAsia="zh-CN" w:bidi="ar"/>
              </w:rPr>
              <w:t>。</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F1C8">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val="0"/>
                <w:iCs w:val="0"/>
                <w:color w:val="000000"/>
                <w:sz w:val="16"/>
                <w:szCs w:val="16"/>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6F0C">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val="0"/>
                <w:iCs w:val="0"/>
                <w:color w:val="000000"/>
                <w:sz w:val="16"/>
                <w:szCs w:val="16"/>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9A2C">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val="0"/>
                <w:iCs w:val="0"/>
                <w:color w:val="000000"/>
                <w:sz w:val="16"/>
                <w:szCs w:val="16"/>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A5E5">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val="0"/>
                <w:iCs w:val="0"/>
                <w:color w:val="000000"/>
                <w:sz w:val="16"/>
                <w:szCs w:val="16"/>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48F3">
            <w:pPr>
              <w:keepNext w:val="0"/>
              <w:keepLines w:val="0"/>
              <w:pageBreakBefore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val="0"/>
                <w:iCs w:val="0"/>
                <w:color w:val="000000"/>
                <w:sz w:val="16"/>
                <w:szCs w:val="16"/>
                <w:u w:val="none"/>
              </w:rPr>
            </w:pPr>
          </w:p>
        </w:tc>
      </w:tr>
      <w:tr w14:paraId="236C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106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FDF7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大理石沙盘底座</w:t>
            </w:r>
          </w:p>
        </w:tc>
      </w:tr>
      <w:tr w14:paraId="46B3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BF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沙盘</w:t>
            </w:r>
          </w:p>
          <w:p w14:paraId="674A27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底座</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C6AD">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大理石沙盘底座，内部采用沙比利木制搭建结构表面采用普通石材外贴拼接，手工打磨后美缝处理 底部采用LED灯亮化，作为氛围灯；底座建议高度：600MM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87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21.09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BF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3.7m*5.7m</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D7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BF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b/>
                <w:bCs/>
                <w:i w:val="0"/>
                <w:iCs w:val="0"/>
                <w:color w:val="000000"/>
                <w:sz w:val="16"/>
                <w:szCs w:val="16"/>
                <w:u w:val="none"/>
                <w:lang w:val="en-US"/>
              </w:rPr>
            </w:pPr>
            <w:r>
              <w:rPr>
                <w:rFonts w:hint="eastAsia" w:ascii="微软雅黑" w:hAnsi="微软雅黑" w:eastAsia="微软雅黑" w:cs="微软雅黑"/>
                <w:b/>
                <w:bCs/>
                <w:i w:val="0"/>
                <w:iCs w:val="0"/>
                <w:color w:val="000000"/>
                <w:kern w:val="0"/>
                <w:sz w:val="16"/>
                <w:szCs w:val="16"/>
                <w:u w:val="none"/>
                <w:lang w:val="en-US" w:eastAsia="zh-CN" w:bidi="ar"/>
              </w:rPr>
              <w:t>1007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BD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b/>
                <w:bCs/>
                <w:i w:val="0"/>
                <w:iCs w:val="0"/>
                <w:color w:val="000000"/>
                <w:sz w:val="16"/>
                <w:szCs w:val="16"/>
                <w:u w:val="none"/>
                <w:lang w:val="en-US" w:eastAsia="zh-CN"/>
              </w:rPr>
            </w:pPr>
            <w:r>
              <w:rPr>
                <w:rFonts w:hint="eastAsia" w:ascii="微软雅黑" w:hAnsi="微软雅黑" w:eastAsia="微软雅黑" w:cs="微软雅黑"/>
                <w:b/>
                <w:bCs/>
                <w:i w:val="0"/>
                <w:iCs w:val="0"/>
                <w:color w:val="000000"/>
                <w:sz w:val="16"/>
                <w:szCs w:val="16"/>
                <w:u w:val="none"/>
                <w:lang w:val="en-US" w:eastAsia="zh-CN"/>
              </w:rPr>
              <w:t>21237.63</w:t>
            </w:r>
          </w:p>
        </w:tc>
      </w:tr>
      <w:tr w14:paraId="6906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6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F08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临展沙盘（数量1套）</w:t>
            </w:r>
          </w:p>
        </w:tc>
        <w:tc>
          <w:tcPr>
            <w:tcW w:w="46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93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各项明细</w:t>
            </w:r>
          </w:p>
        </w:tc>
      </w:tr>
      <w:tr w14:paraId="132E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106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4D8B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临时售楼部写意沙盘（1.2m*1.8m）</w:t>
            </w:r>
          </w:p>
        </w:tc>
      </w:tr>
      <w:tr w14:paraId="71B7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5A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临时售楼部写意沙盘</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398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内置自然白灯光；高度建议：参考真实层高制作。注：内层带分割线、窗户线、平面布局线；景观全部写意制作，金属正面人工做漆、雕刻机精细刻画出园区路网、铺砖、星光跑道，自然白内透光；仿真水面，</w:t>
            </w:r>
          </w:p>
          <w:p w14:paraId="1D59F9D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底座要求：内部采用沙比利木制搭建结构，表面采用定制钢琴漆，手工打磨平整处理；底部采用LED灯亮化，作为氛围灯；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9F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3B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1.2m*1.8m</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49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E8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b/>
                <w:bCs/>
                <w:i w:val="0"/>
                <w:iCs w:val="0"/>
                <w:color w:val="000000"/>
                <w:sz w:val="16"/>
                <w:szCs w:val="16"/>
                <w:u w:val="none"/>
                <w:lang w:val="en-US"/>
              </w:rPr>
            </w:pPr>
            <w:r>
              <w:rPr>
                <w:rFonts w:hint="eastAsia" w:ascii="微软雅黑" w:hAnsi="微软雅黑" w:eastAsia="微软雅黑" w:cs="微软雅黑"/>
                <w:b/>
                <w:bCs/>
                <w:i w:val="0"/>
                <w:iCs w:val="0"/>
                <w:color w:val="000000"/>
                <w:kern w:val="0"/>
                <w:sz w:val="16"/>
                <w:szCs w:val="16"/>
                <w:u w:val="none"/>
                <w:lang w:val="en-US" w:eastAsia="zh-CN" w:bidi="ar"/>
              </w:rPr>
              <w:t>23320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8E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b/>
                <w:bCs/>
                <w:i w:val="0"/>
                <w:iCs w:val="0"/>
                <w:color w:val="000000"/>
                <w:sz w:val="16"/>
                <w:szCs w:val="16"/>
                <w:u w:val="none"/>
                <w:lang w:val="en-US"/>
              </w:rPr>
            </w:pPr>
            <w:r>
              <w:rPr>
                <w:rFonts w:hint="eastAsia" w:ascii="微软雅黑" w:hAnsi="微软雅黑" w:eastAsia="微软雅黑" w:cs="微软雅黑"/>
                <w:b/>
                <w:bCs/>
                <w:i w:val="0"/>
                <w:iCs w:val="0"/>
                <w:color w:val="000000"/>
                <w:kern w:val="0"/>
                <w:sz w:val="16"/>
                <w:szCs w:val="16"/>
                <w:u w:val="none"/>
                <w:lang w:val="en-US" w:eastAsia="zh-CN" w:bidi="ar"/>
              </w:rPr>
              <w:t>23320</w:t>
            </w:r>
          </w:p>
        </w:tc>
      </w:tr>
      <w:tr w14:paraId="45B2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6B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品牌墙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CD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墙面整体轻钢龙骨框架，木饰面打底，面层不锈钢电镀色;字体迷你发光字，水晶字，部分字体丝印;精工不锈钢发光地图;画面超薄迷你灯箱，正背发光;墙面造型及部分线条发光。材质颜色为亚克力石。</w:t>
            </w:r>
          </w:p>
          <w:p w14:paraId="00E9E2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p>
        </w:tc>
        <w:tc>
          <w:tcPr>
            <w:tcW w:w="703" w:type="dxa"/>
            <w:tcBorders>
              <w:top w:val="single" w:color="000000" w:sz="4" w:space="0"/>
              <w:left w:val="single" w:color="000000" w:sz="4" w:space="0"/>
              <w:bottom w:val="single" w:color="000000" w:sz="4" w:space="0"/>
              <w:right w:val="single" w:color="auto" w:sz="4" w:space="0"/>
            </w:tcBorders>
            <w:shd w:val="clear" w:color="auto" w:fill="auto"/>
            <w:vAlign w:val="center"/>
          </w:tcPr>
          <w:p w14:paraId="40BA79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17.6</w:t>
            </w:r>
          </w:p>
        </w:tc>
        <w:tc>
          <w:tcPr>
            <w:tcW w:w="924" w:type="dxa"/>
            <w:tcBorders>
              <w:top w:val="single" w:color="000000" w:sz="4" w:space="0"/>
              <w:left w:val="single" w:color="auto" w:sz="4" w:space="0"/>
              <w:bottom w:val="single" w:color="000000" w:sz="4" w:space="0"/>
              <w:right w:val="single" w:color="auto" w:sz="4" w:space="0"/>
            </w:tcBorders>
            <w:shd w:val="clear" w:color="auto" w:fill="auto"/>
            <w:vAlign w:val="center"/>
          </w:tcPr>
          <w:p w14:paraId="4C67A8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8m*2.2m</w:t>
            </w:r>
          </w:p>
        </w:tc>
        <w:tc>
          <w:tcPr>
            <w:tcW w:w="924" w:type="dxa"/>
            <w:tcBorders>
              <w:top w:val="single" w:color="000000" w:sz="4" w:space="0"/>
              <w:left w:val="single" w:color="auto" w:sz="4" w:space="0"/>
              <w:bottom w:val="single" w:color="000000" w:sz="4" w:space="0"/>
              <w:right w:val="single" w:color="auto" w:sz="4" w:space="0"/>
            </w:tcBorders>
            <w:shd w:val="clear" w:color="auto" w:fill="auto"/>
            <w:vAlign w:val="center"/>
          </w:tcPr>
          <w:p w14:paraId="3A4C4D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104" w:type="dxa"/>
            <w:tcBorders>
              <w:top w:val="single" w:color="000000" w:sz="4" w:space="0"/>
              <w:left w:val="single" w:color="auto" w:sz="4" w:space="0"/>
              <w:bottom w:val="single" w:color="000000" w:sz="4" w:space="0"/>
              <w:right w:val="single" w:color="auto" w:sz="4" w:space="0"/>
            </w:tcBorders>
            <w:shd w:val="clear" w:color="auto" w:fill="auto"/>
            <w:vAlign w:val="center"/>
          </w:tcPr>
          <w:p w14:paraId="724F3C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b/>
                <w:bCs/>
                <w:i w:val="0"/>
                <w:iCs w:val="0"/>
                <w:color w:val="000000"/>
                <w:sz w:val="16"/>
                <w:szCs w:val="16"/>
                <w:u w:val="none"/>
                <w:lang w:val="en-US"/>
              </w:rPr>
            </w:pPr>
            <w:r>
              <w:rPr>
                <w:rFonts w:hint="eastAsia" w:ascii="微软雅黑" w:hAnsi="微软雅黑" w:eastAsia="微软雅黑" w:cs="微软雅黑"/>
                <w:b/>
                <w:bCs/>
                <w:i w:val="0"/>
                <w:iCs w:val="0"/>
                <w:color w:val="000000"/>
                <w:kern w:val="0"/>
                <w:sz w:val="16"/>
                <w:szCs w:val="16"/>
                <w:u w:val="none"/>
                <w:lang w:val="en-US" w:eastAsia="zh-CN" w:bidi="ar"/>
              </w:rPr>
              <w:t>3286</w:t>
            </w:r>
          </w:p>
        </w:tc>
        <w:tc>
          <w:tcPr>
            <w:tcW w:w="984" w:type="dxa"/>
            <w:tcBorders>
              <w:top w:val="single" w:color="000000" w:sz="4" w:space="0"/>
              <w:left w:val="single" w:color="auto" w:sz="4" w:space="0"/>
              <w:bottom w:val="single" w:color="000000" w:sz="4" w:space="0"/>
              <w:right w:val="single" w:color="000000" w:sz="4" w:space="0"/>
            </w:tcBorders>
            <w:shd w:val="clear" w:color="auto" w:fill="auto"/>
            <w:vAlign w:val="center"/>
          </w:tcPr>
          <w:p w14:paraId="1C208C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b/>
                <w:bCs/>
                <w:i w:val="0"/>
                <w:iCs w:val="0"/>
                <w:color w:val="000000"/>
                <w:sz w:val="16"/>
                <w:szCs w:val="16"/>
                <w:u w:val="none"/>
                <w:lang w:val="en-US"/>
              </w:rPr>
            </w:pPr>
            <w:r>
              <w:rPr>
                <w:rFonts w:hint="eastAsia" w:ascii="微软雅黑" w:hAnsi="微软雅黑" w:eastAsia="微软雅黑" w:cs="微软雅黑"/>
                <w:b/>
                <w:bCs/>
                <w:i w:val="0"/>
                <w:iCs w:val="0"/>
                <w:color w:val="000000"/>
                <w:kern w:val="0"/>
                <w:sz w:val="16"/>
                <w:szCs w:val="16"/>
                <w:u w:val="none"/>
                <w:lang w:val="en-US" w:eastAsia="zh-CN" w:bidi="ar"/>
              </w:rPr>
              <w:t>57833.60</w:t>
            </w:r>
          </w:p>
        </w:tc>
      </w:tr>
      <w:tr w14:paraId="54DF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FD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合计总价</w:t>
            </w:r>
          </w:p>
        </w:tc>
        <w:tc>
          <w:tcPr>
            <w:tcW w:w="54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FDD8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 xml:space="preserve">                                                                                                                 </w:t>
            </w:r>
          </w:p>
        </w:tc>
        <w:tc>
          <w:tcPr>
            <w:tcW w:w="70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9D520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cs="宋体"/>
                <w:i w:val="0"/>
                <w:iCs w:val="0"/>
                <w:color w:val="000000"/>
                <w:sz w:val="16"/>
                <w:szCs w:val="16"/>
                <w:u w:val="none"/>
                <w:lang w:val="en-US" w:eastAsia="zh-CN"/>
              </w:rPr>
            </w:pPr>
          </w:p>
        </w:tc>
        <w:tc>
          <w:tcPr>
            <w:tcW w:w="924"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9AAD8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cs="宋体"/>
                <w:i w:val="0"/>
                <w:iCs w:val="0"/>
                <w:color w:val="000000"/>
                <w:sz w:val="16"/>
                <w:szCs w:val="16"/>
                <w:u w:val="none"/>
                <w:lang w:val="en-US" w:eastAsia="zh-CN"/>
              </w:rPr>
            </w:pPr>
          </w:p>
        </w:tc>
        <w:tc>
          <w:tcPr>
            <w:tcW w:w="924"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C0520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cs="宋体"/>
                <w:i w:val="0"/>
                <w:iCs w:val="0"/>
                <w:color w:val="000000"/>
                <w:sz w:val="16"/>
                <w:szCs w:val="16"/>
                <w:u w:val="none"/>
                <w:lang w:val="en-US" w:eastAsia="zh-CN"/>
              </w:rPr>
            </w:pPr>
          </w:p>
        </w:tc>
        <w:tc>
          <w:tcPr>
            <w:tcW w:w="1104"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FC2E0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cs="宋体"/>
                <w:i w:val="0"/>
                <w:iCs w:val="0"/>
                <w:color w:val="000000"/>
                <w:sz w:val="16"/>
                <w:szCs w:val="16"/>
                <w:u w:val="none"/>
                <w:lang w:val="en-US" w:eastAsia="zh-CN"/>
              </w:rPr>
            </w:pPr>
          </w:p>
        </w:tc>
        <w:tc>
          <w:tcPr>
            <w:tcW w:w="98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6885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cs="宋体"/>
                <w:b/>
                <w:bCs/>
                <w:i w:val="0"/>
                <w:iCs w:val="0"/>
                <w:color w:val="000000"/>
                <w:sz w:val="16"/>
                <w:szCs w:val="16"/>
                <w:u w:val="none"/>
                <w:lang w:val="en-US" w:eastAsia="zh-CN"/>
              </w:rPr>
            </w:pPr>
            <w:r>
              <w:rPr>
                <w:rFonts w:hint="eastAsia" w:ascii="宋体" w:hAnsi="宋体" w:cs="宋体"/>
                <w:b/>
                <w:bCs/>
                <w:i w:val="0"/>
                <w:iCs w:val="0"/>
                <w:color w:val="000000"/>
                <w:sz w:val="16"/>
                <w:szCs w:val="16"/>
                <w:u w:val="none"/>
                <w:lang w:val="en-US" w:eastAsia="zh-CN"/>
              </w:rPr>
              <w:t>243510.03</w:t>
            </w:r>
          </w:p>
        </w:tc>
      </w:tr>
    </w:tbl>
    <w:p w14:paraId="481EC7C2">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default" w:ascii="仿宋_GB2312" w:hAnsi="仿宋_GB2312" w:eastAsia="仿宋_GB2312" w:cs="仿宋_GB2312"/>
          <w:color w:val="000000"/>
          <w:kern w:val="2"/>
          <w:sz w:val="32"/>
          <w:szCs w:val="32"/>
          <w:lang w:val="en-US" w:eastAsia="zh-CN" w:bidi="ar-SA"/>
        </w:rPr>
      </w:pPr>
    </w:p>
    <w:p w14:paraId="721C81B1">
      <w:pPr>
        <w:pageBreakBefore/>
        <w:spacing w:before="249" w:beforeLines="80" w:after="249" w:afterLines="80" w:line="440" w:lineRule="exact"/>
        <w:jc w:val="center"/>
        <w:outlineLvl w:val="1"/>
        <w:rPr>
          <w:rFonts w:hint="eastAsia" w:ascii="宋体" w:eastAsia="宋体"/>
          <w:b/>
          <w:color w:val="auto"/>
          <w:sz w:val="32"/>
          <w:szCs w:val="32"/>
          <w:highlight w:val="none"/>
          <w:lang w:val="en-US" w:eastAsia="zh-CN"/>
        </w:rPr>
      </w:pPr>
      <w:r>
        <w:rPr>
          <w:rFonts w:hint="eastAsia" w:ascii="宋体"/>
          <w:b/>
          <w:color w:val="auto"/>
          <w:sz w:val="32"/>
          <w:szCs w:val="32"/>
          <w:highlight w:val="none"/>
        </w:rPr>
        <w:t>第</w:t>
      </w:r>
      <w:r>
        <w:rPr>
          <w:rFonts w:hint="eastAsia" w:ascii="宋体"/>
          <w:b/>
          <w:color w:val="auto"/>
          <w:sz w:val="32"/>
          <w:szCs w:val="32"/>
          <w:highlight w:val="none"/>
          <w:lang w:val="en-US" w:eastAsia="zh-CN"/>
        </w:rPr>
        <w:t>四</w:t>
      </w:r>
      <w:r>
        <w:rPr>
          <w:rFonts w:hint="eastAsia" w:ascii="宋体"/>
          <w:b/>
          <w:color w:val="auto"/>
          <w:sz w:val="32"/>
          <w:szCs w:val="32"/>
          <w:highlight w:val="none"/>
        </w:rPr>
        <w:t>章</w:t>
      </w:r>
      <w:r>
        <w:rPr>
          <w:rFonts w:ascii="宋体"/>
          <w:b/>
          <w:color w:val="auto"/>
          <w:sz w:val="32"/>
          <w:szCs w:val="32"/>
          <w:highlight w:val="none"/>
        </w:rPr>
        <w:t xml:space="preserve">  </w:t>
      </w:r>
      <w:r>
        <w:rPr>
          <w:rFonts w:hint="eastAsia" w:ascii="宋体"/>
          <w:b/>
          <w:color w:val="auto"/>
          <w:sz w:val="32"/>
          <w:szCs w:val="32"/>
          <w:highlight w:val="none"/>
        </w:rPr>
        <w:t>合同条款</w:t>
      </w:r>
      <w:bookmarkEnd w:id="21"/>
      <w:r>
        <w:rPr>
          <w:rFonts w:hint="eastAsia" w:ascii="宋体"/>
          <w:b/>
          <w:color w:val="auto"/>
          <w:sz w:val="32"/>
          <w:szCs w:val="32"/>
          <w:highlight w:val="none"/>
          <w:lang w:val="en-US" w:eastAsia="zh-CN"/>
        </w:rPr>
        <w:t xml:space="preserve"> </w:t>
      </w:r>
    </w:p>
    <w:p w14:paraId="62C5970D">
      <w:pPr>
        <w:pStyle w:val="6"/>
        <w:spacing w:before="0" w:after="0"/>
        <w:rPr>
          <w:rFonts w:hint="eastAsia" w:ascii="宋体" w:hAnsi="宋体" w:eastAsia="宋体" w:cs="宋体"/>
          <w:color w:val="auto"/>
          <w:highlight w:val="none"/>
          <w:lang w:val="en-US" w:eastAsia="zh-CN"/>
        </w:rPr>
      </w:pPr>
      <w:bookmarkStart w:id="22" w:name="_Toc31238"/>
    </w:p>
    <w:p w14:paraId="5BFBE11D">
      <w:pPr>
        <w:rPr>
          <w:rFonts w:hint="eastAsia" w:ascii="宋体" w:hAnsi="宋体" w:eastAsia="宋体" w:cs="宋体"/>
          <w:color w:val="auto"/>
          <w:highlight w:val="none"/>
          <w:lang w:val="en-US" w:eastAsia="zh-CN"/>
        </w:rPr>
      </w:pPr>
    </w:p>
    <w:p w14:paraId="65B68E0B">
      <w:pPr>
        <w:pStyle w:val="161"/>
        <w:ind w:firstLine="643" w:firstLineChars="200"/>
        <w:rPr>
          <w:rFonts w:hint="eastAsia" w:ascii="宋体" w:hAnsi="宋体" w:cs="宋体"/>
          <w:b/>
          <w:color w:val="auto"/>
          <w:sz w:val="32"/>
          <w:szCs w:val="32"/>
          <w:highlight w:val="none"/>
        </w:rPr>
      </w:pPr>
      <w:bookmarkStart w:id="23" w:name="_Toc184263479"/>
      <w:bookmarkStart w:id="24" w:name="_Toc2094516902"/>
      <w:r>
        <w:rPr>
          <w:rFonts w:hint="eastAsia" w:ascii="宋体" w:hAnsi="宋体" w:cs="宋体"/>
          <w:b/>
          <w:color w:val="auto"/>
          <w:sz w:val="32"/>
          <w:szCs w:val="32"/>
          <w:highlight w:val="none"/>
        </w:rPr>
        <w:t>本项目合同待确定中标人后双方制定,主要内容包括但不限于中标</w:t>
      </w:r>
      <w:r>
        <w:rPr>
          <w:rFonts w:hint="eastAsia" w:ascii="宋体" w:hAnsi="宋体" w:cs="宋体"/>
          <w:b/>
          <w:color w:val="auto"/>
          <w:sz w:val="32"/>
          <w:szCs w:val="32"/>
          <w:highlight w:val="none"/>
          <w:lang w:val="en-US" w:eastAsia="zh-CN"/>
        </w:rPr>
        <w:t>价格</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en-US" w:eastAsia="zh-CN"/>
        </w:rPr>
        <w:t>工期</w:t>
      </w:r>
      <w:r>
        <w:rPr>
          <w:rFonts w:hint="eastAsia" w:ascii="宋体" w:hAnsi="宋体" w:cs="宋体"/>
          <w:b/>
          <w:color w:val="auto"/>
          <w:sz w:val="32"/>
          <w:szCs w:val="32"/>
          <w:highlight w:val="none"/>
        </w:rPr>
        <w:t>、结算价、付款方式等。其他详细内容双方协商确定。</w:t>
      </w:r>
      <w:bookmarkEnd w:id="23"/>
      <w:bookmarkEnd w:id="24"/>
    </w:p>
    <w:p w14:paraId="2EFF49D7">
      <w:pPr>
        <w:pStyle w:val="161"/>
        <w:rPr>
          <w:rFonts w:hint="eastAsia" w:ascii="宋体" w:hAnsi="宋体" w:cs="宋体"/>
          <w:b/>
          <w:color w:val="auto"/>
          <w:sz w:val="32"/>
          <w:szCs w:val="32"/>
          <w:highlight w:val="none"/>
        </w:rPr>
      </w:pPr>
    </w:p>
    <w:p w14:paraId="385F32BD">
      <w:pPr>
        <w:pStyle w:val="2"/>
        <w:rPr>
          <w:rFonts w:hint="eastAsia" w:ascii="宋体" w:hAnsi="宋体" w:eastAsia="宋体" w:cs="宋体"/>
          <w:color w:val="auto"/>
          <w:highlight w:val="none"/>
          <w:lang w:val="en-US" w:eastAsia="zh-CN"/>
        </w:rPr>
      </w:pPr>
    </w:p>
    <w:p w14:paraId="4C2C85B2">
      <w:pPr>
        <w:rPr>
          <w:rFonts w:hint="eastAsia" w:ascii="宋体" w:hAnsi="宋体" w:eastAsia="宋体" w:cs="宋体"/>
          <w:color w:val="auto"/>
          <w:highlight w:val="none"/>
          <w:lang w:val="en-US" w:eastAsia="zh-CN"/>
        </w:rPr>
      </w:pPr>
    </w:p>
    <w:p w14:paraId="640B982C">
      <w:pPr>
        <w:pStyle w:val="2"/>
        <w:rPr>
          <w:rFonts w:hint="eastAsia" w:ascii="宋体" w:hAnsi="宋体" w:eastAsia="宋体" w:cs="宋体"/>
          <w:color w:val="auto"/>
          <w:highlight w:val="none"/>
          <w:lang w:val="en-US" w:eastAsia="zh-CN"/>
        </w:rPr>
      </w:pPr>
    </w:p>
    <w:p w14:paraId="5E18DA78">
      <w:pPr>
        <w:rPr>
          <w:rFonts w:hint="eastAsia" w:ascii="宋体" w:hAnsi="宋体" w:eastAsia="宋体" w:cs="宋体"/>
          <w:color w:val="auto"/>
          <w:highlight w:val="none"/>
          <w:lang w:val="en-US" w:eastAsia="zh-CN"/>
        </w:rPr>
      </w:pPr>
    </w:p>
    <w:p w14:paraId="54AECF8D">
      <w:pPr>
        <w:pStyle w:val="2"/>
        <w:rPr>
          <w:rFonts w:hint="eastAsia" w:ascii="宋体" w:hAnsi="宋体" w:eastAsia="宋体" w:cs="宋体"/>
          <w:color w:val="auto"/>
          <w:highlight w:val="none"/>
          <w:lang w:val="en-US" w:eastAsia="zh-CN"/>
        </w:rPr>
      </w:pPr>
    </w:p>
    <w:p w14:paraId="3717DE92">
      <w:pPr>
        <w:rPr>
          <w:rFonts w:hint="eastAsia" w:ascii="宋体" w:hAnsi="宋体" w:eastAsia="宋体" w:cs="宋体"/>
          <w:color w:val="auto"/>
          <w:highlight w:val="none"/>
          <w:lang w:val="en-US" w:eastAsia="zh-CN"/>
        </w:rPr>
      </w:pPr>
    </w:p>
    <w:p w14:paraId="0952B911">
      <w:pPr>
        <w:pStyle w:val="2"/>
        <w:rPr>
          <w:rFonts w:hint="eastAsia" w:ascii="宋体" w:hAnsi="宋体" w:eastAsia="宋体" w:cs="宋体"/>
          <w:color w:val="auto"/>
          <w:highlight w:val="none"/>
          <w:lang w:val="en-US" w:eastAsia="zh-CN"/>
        </w:rPr>
      </w:pPr>
    </w:p>
    <w:p w14:paraId="2A63EEF9">
      <w:pPr>
        <w:rPr>
          <w:rFonts w:hint="eastAsia" w:ascii="宋体" w:hAnsi="宋体" w:eastAsia="宋体" w:cs="宋体"/>
          <w:color w:val="auto"/>
          <w:highlight w:val="none"/>
          <w:lang w:val="en-US" w:eastAsia="zh-CN"/>
        </w:rPr>
      </w:pPr>
    </w:p>
    <w:p w14:paraId="4CFA0328">
      <w:pPr>
        <w:pStyle w:val="2"/>
        <w:rPr>
          <w:rFonts w:hint="eastAsia" w:ascii="宋体" w:hAnsi="宋体" w:eastAsia="宋体" w:cs="宋体"/>
          <w:color w:val="auto"/>
          <w:highlight w:val="none"/>
          <w:lang w:val="en-US" w:eastAsia="zh-CN"/>
        </w:rPr>
      </w:pPr>
    </w:p>
    <w:p w14:paraId="01C34838">
      <w:pPr>
        <w:rPr>
          <w:rFonts w:hint="eastAsia" w:ascii="宋体" w:hAnsi="宋体" w:eastAsia="宋体" w:cs="宋体"/>
          <w:color w:val="auto"/>
          <w:highlight w:val="none"/>
          <w:lang w:val="en-US" w:eastAsia="zh-CN"/>
        </w:rPr>
      </w:pPr>
    </w:p>
    <w:p w14:paraId="2CA6081E">
      <w:pPr>
        <w:pStyle w:val="2"/>
        <w:rPr>
          <w:rFonts w:hint="eastAsia" w:ascii="宋体" w:hAnsi="宋体" w:eastAsia="宋体" w:cs="宋体"/>
          <w:color w:val="auto"/>
          <w:highlight w:val="none"/>
          <w:lang w:val="en-US" w:eastAsia="zh-CN"/>
        </w:rPr>
      </w:pPr>
    </w:p>
    <w:p w14:paraId="7C527EF9">
      <w:pPr>
        <w:rPr>
          <w:rFonts w:hint="eastAsia" w:ascii="宋体" w:hAnsi="宋体" w:eastAsia="宋体" w:cs="宋体"/>
          <w:color w:val="auto"/>
          <w:highlight w:val="none"/>
          <w:lang w:val="en-US" w:eastAsia="zh-CN"/>
        </w:rPr>
      </w:pPr>
    </w:p>
    <w:p w14:paraId="4C6641B3">
      <w:pPr>
        <w:pStyle w:val="2"/>
        <w:rPr>
          <w:rFonts w:hint="eastAsia" w:ascii="宋体" w:hAnsi="宋体" w:eastAsia="宋体" w:cs="宋体"/>
          <w:color w:val="auto"/>
          <w:highlight w:val="none"/>
          <w:lang w:val="en-US" w:eastAsia="zh-CN"/>
        </w:rPr>
      </w:pPr>
    </w:p>
    <w:p w14:paraId="66CB6755">
      <w:pPr>
        <w:rPr>
          <w:rFonts w:hint="eastAsia" w:ascii="宋体" w:hAnsi="宋体" w:eastAsia="宋体" w:cs="宋体"/>
          <w:color w:val="auto"/>
          <w:highlight w:val="none"/>
          <w:lang w:val="en-US" w:eastAsia="zh-CN"/>
        </w:rPr>
      </w:pPr>
    </w:p>
    <w:p w14:paraId="1222D2C2">
      <w:pPr>
        <w:pStyle w:val="2"/>
        <w:rPr>
          <w:rFonts w:hint="eastAsia" w:ascii="宋体" w:hAnsi="宋体" w:eastAsia="宋体" w:cs="宋体"/>
          <w:color w:val="auto"/>
          <w:highlight w:val="none"/>
          <w:lang w:val="en-US" w:eastAsia="zh-CN"/>
        </w:rPr>
      </w:pPr>
    </w:p>
    <w:p w14:paraId="2C1BE2AF">
      <w:pPr>
        <w:rPr>
          <w:rFonts w:hint="eastAsia" w:ascii="宋体" w:hAnsi="宋体" w:eastAsia="宋体" w:cs="宋体"/>
          <w:color w:val="auto"/>
          <w:highlight w:val="none"/>
          <w:lang w:val="en-US" w:eastAsia="zh-CN"/>
        </w:rPr>
      </w:pPr>
    </w:p>
    <w:p w14:paraId="1016FA41">
      <w:pPr>
        <w:pStyle w:val="2"/>
        <w:rPr>
          <w:rFonts w:hint="eastAsia" w:ascii="宋体" w:hAnsi="宋体" w:eastAsia="宋体" w:cs="宋体"/>
          <w:color w:val="auto"/>
          <w:highlight w:val="none"/>
          <w:lang w:val="en-US" w:eastAsia="zh-CN"/>
        </w:rPr>
      </w:pPr>
    </w:p>
    <w:p w14:paraId="12E29321">
      <w:pPr>
        <w:rPr>
          <w:rFonts w:hint="eastAsia" w:ascii="宋体" w:hAnsi="宋体" w:eastAsia="宋体" w:cs="宋体"/>
          <w:color w:val="auto"/>
          <w:highlight w:val="none"/>
          <w:lang w:val="en-US" w:eastAsia="zh-CN"/>
        </w:rPr>
      </w:pPr>
    </w:p>
    <w:p w14:paraId="5E058653">
      <w:pPr>
        <w:pStyle w:val="2"/>
        <w:rPr>
          <w:rFonts w:hint="eastAsia" w:ascii="宋体" w:hAnsi="宋体" w:eastAsia="宋体" w:cs="宋体"/>
          <w:color w:val="auto"/>
          <w:highlight w:val="none"/>
          <w:lang w:val="en-US" w:eastAsia="zh-CN"/>
        </w:rPr>
      </w:pPr>
    </w:p>
    <w:p w14:paraId="7D8F7D88">
      <w:pPr>
        <w:rPr>
          <w:rFonts w:hint="eastAsia" w:ascii="宋体" w:hAnsi="宋体" w:eastAsia="宋体" w:cs="宋体"/>
          <w:color w:val="auto"/>
          <w:highlight w:val="none"/>
          <w:lang w:val="en-US" w:eastAsia="zh-CN"/>
        </w:rPr>
      </w:pPr>
    </w:p>
    <w:p w14:paraId="619F49B5">
      <w:pPr>
        <w:pStyle w:val="2"/>
        <w:rPr>
          <w:rFonts w:hint="eastAsia" w:ascii="宋体" w:hAnsi="宋体" w:eastAsia="宋体" w:cs="宋体"/>
          <w:color w:val="auto"/>
          <w:highlight w:val="none"/>
          <w:lang w:val="en-US" w:eastAsia="zh-CN"/>
        </w:rPr>
      </w:pPr>
    </w:p>
    <w:p w14:paraId="00EA3BA6">
      <w:pPr>
        <w:rPr>
          <w:rFonts w:hint="eastAsia" w:ascii="宋体" w:hAnsi="宋体" w:eastAsia="宋体" w:cs="宋体"/>
          <w:color w:val="auto"/>
          <w:highlight w:val="none"/>
          <w:lang w:val="en-US" w:eastAsia="zh-CN"/>
        </w:rPr>
      </w:pPr>
    </w:p>
    <w:p w14:paraId="42CBA586">
      <w:pPr>
        <w:pStyle w:val="2"/>
        <w:rPr>
          <w:rFonts w:hint="eastAsia" w:ascii="宋体" w:hAnsi="宋体" w:eastAsia="宋体" w:cs="宋体"/>
          <w:color w:val="auto"/>
          <w:highlight w:val="none"/>
          <w:lang w:val="en-US" w:eastAsia="zh-CN"/>
        </w:rPr>
      </w:pPr>
    </w:p>
    <w:p w14:paraId="39ECFB0C">
      <w:pPr>
        <w:rPr>
          <w:rFonts w:hint="eastAsia" w:ascii="宋体" w:hAnsi="宋体" w:eastAsia="宋体" w:cs="宋体"/>
          <w:color w:val="auto"/>
          <w:highlight w:val="none"/>
          <w:lang w:val="en-US" w:eastAsia="zh-CN"/>
        </w:rPr>
      </w:pPr>
    </w:p>
    <w:p w14:paraId="6919C22B">
      <w:pPr>
        <w:pStyle w:val="2"/>
        <w:rPr>
          <w:rFonts w:hint="eastAsia" w:ascii="宋体" w:hAnsi="宋体" w:eastAsia="宋体" w:cs="宋体"/>
          <w:color w:val="auto"/>
          <w:highlight w:val="none"/>
          <w:lang w:val="en-US" w:eastAsia="zh-CN"/>
        </w:rPr>
      </w:pPr>
    </w:p>
    <w:p w14:paraId="54189633">
      <w:pPr>
        <w:rPr>
          <w:rFonts w:hint="eastAsia" w:ascii="宋体" w:hAnsi="宋体" w:eastAsia="宋体" w:cs="宋体"/>
          <w:color w:val="auto"/>
          <w:highlight w:val="none"/>
          <w:lang w:val="en-US" w:eastAsia="zh-CN"/>
        </w:rPr>
      </w:pPr>
    </w:p>
    <w:p w14:paraId="33B2211F">
      <w:pPr>
        <w:pStyle w:val="2"/>
        <w:rPr>
          <w:rFonts w:hint="eastAsia" w:ascii="宋体" w:hAnsi="宋体" w:eastAsia="宋体" w:cs="宋体"/>
          <w:color w:val="auto"/>
          <w:highlight w:val="none"/>
          <w:lang w:val="en-US" w:eastAsia="zh-CN"/>
        </w:rPr>
      </w:pPr>
    </w:p>
    <w:p w14:paraId="64461AF6">
      <w:pPr>
        <w:rPr>
          <w:rFonts w:hint="eastAsia" w:ascii="宋体" w:hAnsi="宋体" w:eastAsia="宋体" w:cs="宋体"/>
          <w:color w:val="auto"/>
          <w:highlight w:val="none"/>
          <w:lang w:val="en-US" w:eastAsia="zh-CN"/>
        </w:rPr>
      </w:pPr>
    </w:p>
    <w:p w14:paraId="7A6CAE14">
      <w:pPr>
        <w:pStyle w:val="2"/>
        <w:rPr>
          <w:rFonts w:hint="eastAsia" w:ascii="宋体" w:hAnsi="宋体" w:eastAsia="宋体" w:cs="宋体"/>
          <w:color w:val="auto"/>
          <w:highlight w:val="none"/>
          <w:lang w:val="en-US" w:eastAsia="zh-CN"/>
        </w:rPr>
      </w:pPr>
    </w:p>
    <w:p w14:paraId="1EBA01D0">
      <w:pPr>
        <w:rPr>
          <w:rFonts w:hint="eastAsia" w:ascii="宋体" w:hAnsi="宋体" w:eastAsia="宋体" w:cs="宋体"/>
          <w:color w:val="auto"/>
          <w:highlight w:val="none"/>
          <w:lang w:val="en-US" w:eastAsia="zh-CN"/>
        </w:rPr>
      </w:pPr>
    </w:p>
    <w:p w14:paraId="42DEED4E">
      <w:pPr>
        <w:pStyle w:val="2"/>
        <w:rPr>
          <w:rFonts w:hint="eastAsia"/>
          <w:lang w:val="en-US" w:eastAsia="zh-CN"/>
        </w:rPr>
      </w:pPr>
    </w:p>
    <w:p w14:paraId="7F239D55">
      <w:pPr>
        <w:pStyle w:val="6"/>
        <w:spacing w:before="0" w:after="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第五章投标文件格式</w:t>
      </w:r>
      <w:bookmarkEnd w:id="22"/>
    </w:p>
    <w:p w14:paraId="39091870">
      <w:pPr>
        <w:jc w:val="center"/>
        <w:rPr>
          <w:rFonts w:ascii="仿宋" w:hAnsi="仿宋" w:eastAsia="仿宋" w:cs="仿宋"/>
          <w:color w:val="auto"/>
          <w:sz w:val="20"/>
          <w:szCs w:val="20"/>
          <w:highlight w:val="none"/>
        </w:rPr>
      </w:pP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w:t>
      </w:r>
    </w:p>
    <w:p w14:paraId="05AE2DB7">
      <w:pPr>
        <w:jc w:val="center"/>
        <w:rPr>
          <w:rFonts w:ascii="仿宋" w:hAnsi="仿宋" w:eastAsia="仿宋" w:cs="仿宋"/>
          <w:color w:val="auto"/>
          <w:sz w:val="20"/>
          <w:szCs w:val="20"/>
          <w:highlight w:val="none"/>
        </w:rPr>
      </w:pPr>
    </w:p>
    <w:p w14:paraId="6A5377BE">
      <w:pPr>
        <w:jc w:val="center"/>
        <w:rPr>
          <w:rFonts w:ascii="仿宋" w:hAnsi="仿宋" w:eastAsia="仿宋" w:cs="仿宋"/>
          <w:color w:val="auto"/>
          <w:sz w:val="20"/>
          <w:szCs w:val="20"/>
          <w:highlight w:val="none"/>
        </w:rPr>
      </w:pPr>
    </w:p>
    <w:p w14:paraId="78558296">
      <w:pPr>
        <w:jc w:val="center"/>
        <w:rPr>
          <w:rFonts w:ascii="仿宋" w:hAnsi="仿宋" w:eastAsia="仿宋" w:cs="仿宋"/>
          <w:color w:val="auto"/>
          <w:sz w:val="20"/>
          <w:szCs w:val="20"/>
          <w:highlight w:val="none"/>
        </w:rPr>
      </w:pPr>
    </w:p>
    <w:p w14:paraId="06CDEEB1">
      <w:pPr>
        <w:rPr>
          <w:rFonts w:ascii="仿宋" w:hAnsi="仿宋" w:eastAsia="仿宋" w:cs="仿宋"/>
          <w:color w:val="auto"/>
          <w:sz w:val="20"/>
          <w:szCs w:val="20"/>
          <w:highlight w:val="none"/>
        </w:rPr>
      </w:pPr>
    </w:p>
    <w:p w14:paraId="77245C56">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投标文件一</w:t>
      </w:r>
    </w:p>
    <w:p w14:paraId="119D6F4F">
      <w:pPr>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资格证明材料</w:t>
      </w:r>
      <w:r>
        <w:rPr>
          <w:rFonts w:ascii="仿宋" w:hAnsi="仿宋" w:eastAsia="仿宋" w:cs="仿宋"/>
          <w:color w:val="auto"/>
          <w:sz w:val="44"/>
          <w:szCs w:val="44"/>
          <w:highlight w:val="none"/>
        </w:rPr>
        <w:t xml:space="preserve"> </w:t>
      </w:r>
    </w:p>
    <w:p w14:paraId="1E6355DA">
      <w:pPr>
        <w:jc w:val="center"/>
        <w:rPr>
          <w:rFonts w:ascii="仿宋" w:hAnsi="仿宋" w:eastAsia="仿宋" w:cs="仿宋"/>
          <w:color w:val="auto"/>
          <w:sz w:val="44"/>
          <w:szCs w:val="44"/>
          <w:highlight w:val="none"/>
        </w:rPr>
      </w:pPr>
    </w:p>
    <w:p w14:paraId="3DDE7906">
      <w:pPr>
        <w:rPr>
          <w:rFonts w:ascii="仿宋" w:hAnsi="仿宋" w:eastAsia="仿宋" w:cs="仿宋"/>
          <w:color w:val="auto"/>
          <w:sz w:val="28"/>
          <w:szCs w:val="28"/>
          <w:highlight w:val="none"/>
        </w:rPr>
      </w:pPr>
    </w:p>
    <w:p w14:paraId="7AC05ACE">
      <w:pPr>
        <w:rPr>
          <w:rFonts w:ascii="仿宋" w:hAnsi="仿宋" w:eastAsia="仿宋" w:cs="仿宋"/>
          <w:color w:val="auto"/>
          <w:sz w:val="28"/>
          <w:szCs w:val="28"/>
          <w:highlight w:val="none"/>
        </w:rPr>
      </w:pPr>
    </w:p>
    <w:p w14:paraId="43791825">
      <w:pPr>
        <w:rPr>
          <w:rFonts w:ascii="仿宋" w:hAnsi="仿宋" w:eastAsia="仿宋" w:cs="仿宋"/>
          <w:color w:val="auto"/>
          <w:sz w:val="28"/>
          <w:szCs w:val="28"/>
          <w:highlight w:val="none"/>
        </w:rPr>
      </w:pPr>
    </w:p>
    <w:p w14:paraId="214280EB">
      <w:pPr>
        <w:rPr>
          <w:rFonts w:ascii="仿宋" w:hAnsi="仿宋" w:eastAsia="仿宋" w:cs="仿宋"/>
          <w:color w:val="auto"/>
          <w:sz w:val="28"/>
          <w:szCs w:val="28"/>
          <w:highlight w:val="none"/>
        </w:rPr>
      </w:pPr>
    </w:p>
    <w:p w14:paraId="069DAEF8">
      <w:pPr>
        <w:rPr>
          <w:rFonts w:ascii="仿宋" w:hAnsi="仿宋" w:eastAsia="仿宋" w:cs="仿宋"/>
          <w:color w:val="auto"/>
          <w:sz w:val="28"/>
          <w:szCs w:val="28"/>
          <w:highlight w:val="none"/>
        </w:rPr>
      </w:pPr>
    </w:p>
    <w:p w14:paraId="10812A2A">
      <w:pPr>
        <w:rPr>
          <w:rFonts w:ascii="仿宋" w:hAnsi="仿宋" w:eastAsia="仿宋" w:cs="仿宋"/>
          <w:color w:val="auto"/>
          <w:sz w:val="28"/>
          <w:szCs w:val="28"/>
          <w:highlight w:val="none"/>
        </w:rPr>
      </w:pPr>
    </w:p>
    <w:p w14:paraId="2EF22510">
      <w:pPr>
        <w:rPr>
          <w:rFonts w:ascii="仿宋" w:hAnsi="仿宋" w:eastAsia="仿宋" w:cs="仿宋"/>
          <w:color w:val="auto"/>
          <w:sz w:val="28"/>
          <w:szCs w:val="28"/>
          <w:highlight w:val="none"/>
        </w:rPr>
      </w:pPr>
    </w:p>
    <w:p w14:paraId="311C1826">
      <w:pPr>
        <w:jc w:val="center"/>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p>
    <w:p w14:paraId="30E6BF68">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val="en-US" w:eastAsia="zh-CN"/>
        </w:rPr>
        <w:t>或委托代理人</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签字或盖章</w:t>
      </w:r>
      <w:r>
        <w:rPr>
          <w:rFonts w:hint="eastAsia" w:ascii="仿宋" w:hAnsi="仿宋" w:eastAsia="仿宋" w:cs="仿宋"/>
          <w:color w:val="auto"/>
          <w:sz w:val="28"/>
          <w:szCs w:val="28"/>
          <w:highlight w:val="none"/>
        </w:rPr>
        <w:t>）</w:t>
      </w:r>
    </w:p>
    <w:p w14:paraId="308DDCDC">
      <w:pPr>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23DD48AF">
      <w:pPr>
        <w:rPr>
          <w:rFonts w:ascii="仿宋" w:hAnsi="仿宋" w:eastAsia="仿宋" w:cs="仿宋"/>
          <w:color w:val="auto"/>
          <w:sz w:val="28"/>
          <w:szCs w:val="28"/>
          <w:highlight w:val="none"/>
        </w:rPr>
      </w:pPr>
      <w:r>
        <w:rPr>
          <w:rFonts w:ascii="仿宋" w:hAnsi="仿宋" w:eastAsia="仿宋" w:cs="仿宋"/>
          <w:color w:val="auto"/>
          <w:sz w:val="28"/>
          <w:szCs w:val="28"/>
          <w:highlight w:val="none"/>
        </w:rPr>
        <w:br w:type="page"/>
      </w:r>
    </w:p>
    <w:p w14:paraId="7A1BB647">
      <w:pPr>
        <w:spacing w:line="480" w:lineRule="auto"/>
        <w:ind w:right="980" w:firstLine="602" w:firstLineChars="200"/>
        <w:jc w:val="center"/>
        <w:rPr>
          <w:rFonts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目录</w:t>
      </w:r>
    </w:p>
    <w:p w14:paraId="102EAFAB">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3C25644F">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（2）企业法人营业执照；</w:t>
      </w:r>
    </w:p>
    <w:p w14:paraId="24AFC00C">
      <w:pPr>
        <w:keepNext w:val="0"/>
        <w:keepLines w:val="0"/>
        <w:pageBreakBefore w:val="0"/>
        <w:widowControl w:val="0"/>
        <w:kinsoku/>
        <w:wordWrap/>
        <w:overflowPunct/>
        <w:topLinePunct w:val="0"/>
        <w:autoSpaceDE/>
        <w:autoSpaceDN/>
        <w:bidi w:val="0"/>
        <w:spacing w:line="51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（3）服务承诺书；</w:t>
      </w:r>
    </w:p>
    <w:p w14:paraId="28493F8A">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（4）投标人承担过房地产市场合作项目（提供合同复印件加盖投标人公章，合同原件备查）；</w:t>
      </w:r>
    </w:p>
    <w:p w14:paraId="41D83EAE">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（5）自2021年6月以来（时间以合同签订时间为准），投标人承担过合同金额18万元及以上的类似项目业绩（合同内容至少有2项类别与采购内容相符合，提供合同复印件加盖投标人公章，原件备查）； </w:t>
      </w:r>
    </w:p>
    <w:p w14:paraId="2A88EF3E">
      <w:pPr>
        <w:keepNext w:val="0"/>
        <w:keepLines w:val="0"/>
        <w:pageBreakBefore w:val="0"/>
        <w:widowControl w:val="0"/>
        <w:kinsoku/>
        <w:wordWrap/>
        <w:overflowPunct/>
        <w:topLinePunct w:val="0"/>
        <w:autoSpaceDE/>
        <w:autoSpaceDN/>
        <w:bidi w:val="0"/>
        <w:spacing w:line="51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）投标人认为需要提供的其他资信证明材料</w:t>
      </w:r>
      <w:r>
        <w:rPr>
          <w:rFonts w:hint="eastAsia" w:ascii="宋体" w:hAnsi="宋体" w:eastAsia="宋体" w:cs="宋体"/>
          <w:color w:val="auto"/>
          <w:sz w:val="21"/>
          <w:szCs w:val="21"/>
          <w:highlight w:val="none"/>
          <w:lang w:val="en-US" w:eastAsia="zh-CN"/>
        </w:rPr>
        <w:t>。</w:t>
      </w:r>
    </w:p>
    <w:p w14:paraId="27123756">
      <w:pPr>
        <w:pStyle w:val="2"/>
        <w:ind w:left="0" w:leftChars="0" w:firstLine="0" w:firstLineChars="0"/>
        <w:rPr>
          <w:rFonts w:hint="default" w:eastAsia="宋体"/>
          <w:color w:val="auto"/>
          <w:highlight w:val="none"/>
          <w:lang w:val="en-US" w:eastAsia="zh-CN"/>
        </w:rPr>
      </w:pPr>
    </w:p>
    <w:p w14:paraId="6568D2AF">
      <w:pPr>
        <w:rPr>
          <w:rFonts w:ascii="仿宋" w:hAnsi="仿宋" w:eastAsia="仿宋" w:cs="仿宋"/>
          <w:b/>
          <w:color w:val="auto"/>
          <w:sz w:val="21"/>
          <w:szCs w:val="21"/>
          <w:highlight w:val="none"/>
        </w:rPr>
      </w:pPr>
      <w:r>
        <w:rPr>
          <w:rFonts w:ascii="仿宋" w:hAnsi="仿宋" w:eastAsia="仿宋" w:cs="仿宋"/>
          <w:b/>
          <w:color w:val="auto"/>
          <w:sz w:val="21"/>
          <w:szCs w:val="21"/>
          <w:highlight w:val="none"/>
        </w:rPr>
        <w:br w:type="page"/>
      </w:r>
    </w:p>
    <w:p w14:paraId="55CBD032">
      <w:pPr>
        <w:jc w:val="center"/>
        <w:rPr>
          <w:rFonts w:ascii="仿宋" w:hAnsi="仿宋" w:eastAsia="仿宋" w:cs="仿宋"/>
          <w:color w:val="auto"/>
          <w:sz w:val="32"/>
          <w:szCs w:val="32"/>
          <w:highlight w:val="none"/>
        </w:rPr>
      </w:pPr>
      <w:r>
        <w:rPr>
          <w:rFonts w:hint="eastAsia" w:ascii="仿宋" w:hAnsi="仿宋" w:eastAsia="仿宋" w:cs="仿宋"/>
          <w:b/>
          <w:color w:val="auto"/>
          <w:sz w:val="28"/>
          <w:szCs w:val="28"/>
          <w:highlight w:val="none"/>
        </w:rPr>
        <w:t>法定代表人身份证明或授权委托书</w:t>
      </w:r>
    </w:p>
    <w:p w14:paraId="6EFCCC1C">
      <w:pPr>
        <w:pStyle w:val="147"/>
        <w:spacing w:beforeLines="100" w:afterLines="100" w:line="480" w:lineRule="exact"/>
        <w:ind w:firstLine="180" w:firstLineChars="75"/>
        <w:rPr>
          <w:rFonts w:ascii="仿宋" w:hAnsi="仿宋" w:eastAsia="仿宋" w:cs="仿宋"/>
          <w:b/>
          <w:color w:val="auto"/>
          <w:sz w:val="24"/>
          <w:szCs w:val="24"/>
          <w:highlight w:val="none"/>
        </w:rPr>
      </w:pPr>
      <w:bookmarkStart w:id="25" w:name="OLE_LINK13"/>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、法定代表人身份证明</w:t>
      </w:r>
    </w:p>
    <w:p w14:paraId="40DC1D65">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14:paraId="76C40988">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14:paraId="0B737F6D">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址：</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14:paraId="51C31CF8">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5258D7D">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14:paraId="6D7B7A5B">
      <w:pPr>
        <w:spacing w:line="480" w:lineRule="exact"/>
        <w:ind w:firstLine="1440" w:firstLineChars="200"/>
        <w:rPr>
          <w:rFonts w:ascii="仿宋" w:hAnsi="仿宋" w:eastAsia="仿宋" w:cs="仿宋"/>
          <w:color w:val="auto"/>
          <w:sz w:val="24"/>
          <w:szCs w:val="24"/>
          <w:highlight w:val="none"/>
        </w:rPr>
      </w:pPr>
      <w:r>
        <w:rPr>
          <w:rFonts w:hint="eastAsia" w:ascii="仿宋" w:hAnsi="仿宋" w:eastAsia="仿宋" w:cs="仿宋"/>
          <w:color w:val="auto"/>
          <w:spacing w:val="240"/>
          <w:sz w:val="24"/>
          <w:szCs w:val="24"/>
          <w:highlight w:val="none"/>
        </w:rPr>
        <w:t>姓</w:t>
      </w:r>
      <w:r>
        <w:rPr>
          <w:rFonts w:hint="eastAsia" w:ascii="仿宋" w:hAnsi="仿宋" w:eastAsia="仿宋" w:cs="仿宋"/>
          <w:color w:val="auto"/>
          <w:sz w:val="24"/>
          <w:szCs w:val="24"/>
          <w:highlight w:val="none"/>
        </w:rPr>
        <w:t>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_</w:t>
      </w:r>
    </w:p>
    <w:p w14:paraId="2491F0DD">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w:t>
      </w:r>
    </w:p>
    <w:p w14:paraId="2EB3BF33">
      <w:pPr>
        <w:spacing w:line="480" w:lineRule="exact"/>
        <w:ind w:firstLine="960" w:firstLineChars="4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6571B7DB">
      <w:pPr>
        <w:spacing w:line="360" w:lineRule="auto"/>
        <w:ind w:firstLine="3480" w:firstLineChars="14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0AF86D60">
      <w:pPr>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日</w:t>
      </w:r>
    </w:p>
    <w:bookmarkEnd w:id="25"/>
    <w:p w14:paraId="3C5BE1CA">
      <w:pPr>
        <w:spacing w:line="48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、授权委托书</w:t>
      </w:r>
    </w:p>
    <w:p w14:paraId="66D88D67">
      <w:pPr>
        <w:spacing w:line="48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本授权委托书声明：我</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为我公司法定代表人授权委托代理人，参加</w:t>
      </w:r>
      <w:r>
        <w:rPr>
          <w:rFonts w:hint="eastAsia" w:ascii="仿宋" w:hAnsi="仿宋" w:eastAsia="仿宋" w:cs="仿宋"/>
          <w:color w:val="auto"/>
          <w:sz w:val="24"/>
          <w:szCs w:val="24"/>
          <w:highlight w:val="none"/>
          <w:u w:val="single"/>
        </w:rPr>
        <w:t>招标人</w:t>
      </w:r>
      <w:r>
        <w:rPr>
          <w:rFonts w:hint="eastAsia" w:ascii="仿宋" w:hAnsi="仿宋" w:eastAsia="仿宋" w:cs="仿宋"/>
          <w:color w:val="auto"/>
          <w:sz w:val="24"/>
          <w:szCs w:val="24"/>
          <w:highlight w:val="none"/>
        </w:rPr>
        <w:t>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工程的投标活动。代理人在投标、开标、评标、合同谈判过程中所签署的一切文件和处理与之有关的一切事务，我均予以承认。</w:t>
      </w:r>
    </w:p>
    <w:p w14:paraId="1C68C7D3">
      <w:pPr>
        <w:spacing w:line="48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代理人无转委托权，特此委托。</w:t>
      </w:r>
    </w:p>
    <w:p w14:paraId="153B0BBC">
      <w:pPr>
        <w:spacing w:line="48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附：法定代表人及授权委托人有效身份证复印件</w:t>
      </w:r>
    </w:p>
    <w:p w14:paraId="57AD0E31">
      <w:pPr>
        <w:spacing w:line="480" w:lineRule="auto"/>
        <w:ind w:right="24" w:firstLine="4560" w:firstLineChars="19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授权代理人：</w:t>
      </w:r>
      <w:r>
        <w:rPr>
          <w:rFonts w:hint="eastAsia" w:ascii="仿宋" w:hAnsi="仿宋" w:eastAsia="仿宋" w:cs="仿宋"/>
          <w:color w:val="auto"/>
          <w:sz w:val="24"/>
          <w:szCs w:val="24"/>
          <w:highlight w:val="none"/>
          <w:u w:val="single"/>
        </w:rPr>
        <w:t>（签字或盖章）</w:t>
      </w:r>
    </w:p>
    <w:p w14:paraId="2828D8F0">
      <w:pPr>
        <w:spacing w:line="480" w:lineRule="auto"/>
        <w:ind w:firstLine="5040" w:firstLineChars="2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u w:val="single"/>
        </w:rPr>
        <w:t>（盖章）</w:t>
      </w:r>
    </w:p>
    <w:p w14:paraId="190E7951">
      <w:pPr>
        <w:spacing w:line="480" w:lineRule="auto"/>
        <w:ind w:right="204" w:firstLine="4560" w:firstLineChars="19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（签字或盖章）</w:t>
      </w:r>
    </w:p>
    <w:p w14:paraId="0060A886">
      <w:pPr>
        <w:spacing w:line="480" w:lineRule="auto"/>
        <w:ind w:right="980" w:firstLine="480" w:firstLineChars="200"/>
        <w:jc w:val="center"/>
        <w:rPr>
          <w:rFonts w:ascii="仿宋" w:hAnsi="仿宋" w:eastAsia="仿宋" w:cs="仿宋"/>
          <w:b/>
          <w:bCs/>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年月日</w:t>
      </w:r>
    </w:p>
    <w:p w14:paraId="4F7A8C70">
      <w:pPr>
        <w:rPr>
          <w:b/>
          <w:color w:val="auto"/>
          <w:sz w:val="28"/>
          <w:szCs w:val="28"/>
          <w:highlight w:val="none"/>
        </w:rPr>
      </w:pPr>
      <w:r>
        <w:rPr>
          <w:rFonts w:ascii="仿宋" w:hAnsi="仿宋" w:eastAsia="仿宋" w:cs="仿宋"/>
          <w:b/>
          <w:bCs/>
          <w:color w:val="auto"/>
          <w:kern w:val="0"/>
          <w:sz w:val="30"/>
          <w:szCs w:val="30"/>
          <w:highlight w:val="none"/>
        </w:rPr>
        <w:br w:type="page"/>
      </w:r>
    </w:p>
    <w:p w14:paraId="043DB300">
      <w:pPr>
        <w:jc w:val="center"/>
        <w:rPr>
          <w:rFonts w:ascii="仿宋" w:hAnsi="仿宋" w:eastAsia="仿宋" w:cs="仿宋"/>
          <w:color w:val="auto"/>
          <w:sz w:val="28"/>
          <w:szCs w:val="28"/>
          <w:highlight w:val="none"/>
          <w:u w:val="single"/>
        </w:rPr>
      </w:pPr>
    </w:p>
    <w:p w14:paraId="3E306B30">
      <w:pPr>
        <w:spacing w:line="360" w:lineRule="auto"/>
        <w:jc w:val="both"/>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 xml:space="preserve"> </w:t>
      </w:r>
      <w:r>
        <w:rPr>
          <w:rFonts w:hint="eastAsia" w:ascii="宋体"/>
          <w:b/>
          <w:color w:val="auto"/>
          <w:sz w:val="28"/>
          <w:szCs w:val="28"/>
          <w:highlight w:val="none"/>
        </w:rPr>
        <w:t xml:space="preserve"> </w:t>
      </w:r>
    </w:p>
    <w:p w14:paraId="2F420737">
      <w:pPr>
        <w:spacing w:line="360" w:lineRule="auto"/>
        <w:ind w:left="720"/>
        <w:jc w:val="center"/>
        <w:rPr>
          <w:rFonts w:hint="eastAsia" w:ascii="宋体" w:hAnsi="宋体"/>
          <w:b/>
          <w:color w:val="auto"/>
          <w:sz w:val="36"/>
          <w:szCs w:val="36"/>
          <w:highlight w:val="none"/>
        </w:rPr>
      </w:pPr>
      <w:r>
        <w:rPr>
          <w:rFonts w:hint="eastAsia" w:ascii="宋体" w:hAnsi="宋体" w:cs="宋体"/>
          <w:b/>
          <w:color w:val="auto"/>
          <w:sz w:val="30"/>
          <w:szCs w:val="30"/>
          <w:highlight w:val="none"/>
        </w:rPr>
        <w:t>服务承诺书</w:t>
      </w:r>
      <w:r>
        <w:rPr>
          <w:rFonts w:hint="eastAsia"/>
          <w:b/>
          <w:color w:val="auto"/>
          <w:sz w:val="28"/>
          <w:szCs w:val="28"/>
          <w:highlight w:val="none"/>
        </w:rPr>
        <w:t xml:space="preserve"> </w:t>
      </w:r>
    </w:p>
    <w:p w14:paraId="54BE6F91">
      <w:pPr>
        <w:spacing w:line="800" w:lineRule="exact"/>
        <w:rPr>
          <w:rFonts w:hint="eastAsia" w:ascii="宋体"/>
          <w:color w:val="auto"/>
          <w:sz w:val="24"/>
          <w:highlight w:val="none"/>
          <w:u w:val="singl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招标</w:t>
      </w:r>
      <w:r>
        <w:rPr>
          <w:rFonts w:hint="eastAsia" w:ascii="宋体"/>
          <w:color w:val="auto"/>
          <w:sz w:val="24"/>
          <w:highlight w:val="none"/>
          <w:u w:val="single"/>
        </w:rPr>
        <w:t>人）</w:t>
      </w:r>
    </w:p>
    <w:p w14:paraId="133ECAD0">
      <w:pPr>
        <w:spacing w:line="800" w:lineRule="exact"/>
        <w:ind w:firstLine="480" w:firstLineChars="200"/>
        <w:rPr>
          <w:rFonts w:hint="eastAsia" w:ascii="宋体"/>
          <w:color w:val="auto"/>
          <w:sz w:val="24"/>
          <w:highlight w:val="none"/>
          <w:lang w:val="en-US" w:eastAsia="zh-CN"/>
        </w:rPr>
      </w:pPr>
      <w:r>
        <w:rPr>
          <w:rFonts w:hint="eastAsia" w:ascii="宋体"/>
          <w:color w:val="auto"/>
          <w:sz w:val="24"/>
          <w:highlight w:val="none"/>
        </w:rPr>
        <w:t>本承诺声明：</w:t>
      </w:r>
      <w:r>
        <w:rPr>
          <w:rFonts w:hint="eastAsia" w:ascii="宋体"/>
          <w:color w:val="auto"/>
          <w:sz w:val="24"/>
          <w:highlight w:val="none"/>
          <w:u w:val="single"/>
        </w:rPr>
        <w:t xml:space="preserve">         【投标人名称】</w:t>
      </w:r>
      <w:r>
        <w:rPr>
          <w:rFonts w:hint="eastAsia" w:ascii="宋体"/>
          <w:color w:val="auto"/>
          <w:sz w:val="24"/>
          <w:highlight w:val="none"/>
        </w:rPr>
        <w:t>对本招标文件的相关要求完全响应。若有幸</w:t>
      </w:r>
      <w:r>
        <w:rPr>
          <w:rFonts w:hint="eastAsia" w:ascii="宋体"/>
          <w:color w:val="auto"/>
          <w:sz w:val="24"/>
          <w:highlight w:val="none"/>
          <w:lang w:val="en-US" w:eastAsia="zh-CN"/>
        </w:rPr>
        <w:t>中标</w:t>
      </w:r>
      <w:r>
        <w:rPr>
          <w:rFonts w:hint="eastAsia" w:ascii="宋体"/>
          <w:color w:val="auto"/>
          <w:sz w:val="24"/>
          <w:highlight w:val="none"/>
        </w:rPr>
        <w:t>将严格按照以上承诺进行服务</w:t>
      </w:r>
      <w:r>
        <w:rPr>
          <w:rFonts w:hint="eastAsia" w:ascii="宋体"/>
          <w:color w:val="auto"/>
          <w:sz w:val="24"/>
          <w:highlight w:val="none"/>
          <w:lang w:val="en-US" w:eastAsia="zh-CN"/>
        </w:rPr>
        <w:t xml:space="preserve"> 。</w:t>
      </w:r>
    </w:p>
    <w:p w14:paraId="65A2CCEC">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07FFF24">
      <w:pPr>
        <w:spacing w:line="800" w:lineRule="exact"/>
        <w:ind w:firstLine="480" w:firstLineChars="200"/>
        <w:rPr>
          <w:rFonts w:hint="eastAsia" w:ascii="宋体"/>
          <w:color w:val="auto"/>
          <w:sz w:val="24"/>
          <w:highlight w:val="none"/>
        </w:rPr>
      </w:pPr>
      <w:r>
        <w:rPr>
          <w:rFonts w:hint="eastAsia" w:ascii="宋体"/>
          <w:color w:val="auto"/>
          <w:sz w:val="24"/>
          <w:highlight w:val="none"/>
        </w:rPr>
        <w:t> </w:t>
      </w:r>
    </w:p>
    <w:p w14:paraId="0373FD17">
      <w:pPr>
        <w:spacing w:line="800" w:lineRule="exact"/>
        <w:jc w:val="right"/>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hAnsi="宋体" w:cs="宋体"/>
          <w:color w:val="auto"/>
          <w:sz w:val="24"/>
          <w:highlight w:val="none"/>
        </w:rPr>
        <w:t>（签章）</w:t>
      </w:r>
    </w:p>
    <w:p w14:paraId="2C6ADF03">
      <w:pPr>
        <w:spacing w:line="800" w:lineRule="exact"/>
        <w:jc w:val="right"/>
        <w:rPr>
          <w:rFonts w:hint="eastAsia" w:ascii="宋体"/>
          <w:color w:val="auto"/>
          <w:sz w:val="24"/>
          <w:highlight w:val="none"/>
          <w:u w:val="singl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hAnsi="宋体" w:cs="宋体"/>
          <w:color w:val="auto"/>
          <w:sz w:val="24"/>
          <w:highlight w:val="none"/>
        </w:rPr>
        <w:t>（签章）</w:t>
      </w:r>
    </w:p>
    <w:p w14:paraId="48C91B6F">
      <w:pPr>
        <w:spacing w:line="800" w:lineRule="exact"/>
        <w:jc w:val="center"/>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日    期：</w:t>
      </w:r>
    </w:p>
    <w:p w14:paraId="43CC6BCB">
      <w:pPr>
        <w:spacing w:line="400" w:lineRule="exact"/>
        <w:ind w:firstLine="4680" w:firstLineChars="1950"/>
        <w:rPr>
          <w:rFonts w:hint="eastAsia" w:ascii="宋体"/>
          <w:color w:val="auto"/>
          <w:sz w:val="24"/>
          <w:highlight w:val="none"/>
          <w:u w:val="single"/>
        </w:rPr>
      </w:pPr>
    </w:p>
    <w:p w14:paraId="58BDD1B3">
      <w:pPr>
        <w:spacing w:line="400" w:lineRule="exact"/>
        <w:ind w:firstLine="4680" w:firstLineChars="1950"/>
        <w:rPr>
          <w:rFonts w:hint="eastAsia" w:ascii="宋体"/>
          <w:color w:val="auto"/>
          <w:sz w:val="24"/>
          <w:highlight w:val="none"/>
          <w:u w:val="single"/>
        </w:rPr>
      </w:pPr>
    </w:p>
    <w:p w14:paraId="6B9D762D">
      <w:pPr>
        <w:pStyle w:val="2"/>
        <w:ind w:firstLine="480"/>
        <w:rPr>
          <w:rFonts w:hint="eastAsia"/>
          <w:color w:val="auto"/>
          <w:sz w:val="24"/>
          <w:highlight w:val="none"/>
        </w:rPr>
      </w:pPr>
    </w:p>
    <w:p w14:paraId="33600E76">
      <w:pPr>
        <w:rPr>
          <w:rFonts w:hint="eastAsia"/>
          <w:color w:val="auto"/>
          <w:sz w:val="24"/>
          <w:highlight w:val="none"/>
        </w:rPr>
      </w:pPr>
    </w:p>
    <w:p w14:paraId="4D81BFA6">
      <w:pPr>
        <w:pStyle w:val="2"/>
        <w:ind w:firstLine="480"/>
        <w:rPr>
          <w:rFonts w:hint="eastAsia"/>
          <w:color w:val="auto"/>
          <w:sz w:val="24"/>
          <w:highlight w:val="none"/>
        </w:rPr>
      </w:pPr>
    </w:p>
    <w:p w14:paraId="24122D63">
      <w:pPr>
        <w:rPr>
          <w:rFonts w:hint="eastAsia"/>
          <w:color w:val="auto"/>
          <w:sz w:val="24"/>
          <w:highlight w:val="none"/>
        </w:rPr>
      </w:pPr>
    </w:p>
    <w:p w14:paraId="4416D16C">
      <w:pPr>
        <w:pStyle w:val="2"/>
        <w:ind w:firstLine="480"/>
        <w:rPr>
          <w:rFonts w:hint="eastAsia"/>
          <w:color w:val="auto"/>
          <w:sz w:val="24"/>
          <w:highlight w:val="none"/>
        </w:rPr>
      </w:pPr>
    </w:p>
    <w:p w14:paraId="4CCB8E20">
      <w:pPr>
        <w:rPr>
          <w:rFonts w:hint="eastAsia"/>
          <w:color w:val="auto"/>
          <w:sz w:val="24"/>
          <w:highlight w:val="none"/>
        </w:rPr>
      </w:pPr>
    </w:p>
    <w:p w14:paraId="2347E53D">
      <w:pPr>
        <w:pStyle w:val="2"/>
        <w:ind w:firstLine="480"/>
        <w:rPr>
          <w:rFonts w:hint="eastAsia"/>
          <w:color w:val="auto"/>
          <w:sz w:val="24"/>
          <w:highlight w:val="none"/>
        </w:rPr>
      </w:pPr>
    </w:p>
    <w:p w14:paraId="44104EE8">
      <w:pPr>
        <w:rPr>
          <w:rFonts w:hint="eastAsia"/>
          <w:color w:val="auto"/>
          <w:sz w:val="24"/>
          <w:highlight w:val="none"/>
        </w:rPr>
      </w:pPr>
    </w:p>
    <w:p w14:paraId="2CA54335">
      <w:pPr>
        <w:pStyle w:val="2"/>
        <w:ind w:firstLine="480"/>
        <w:rPr>
          <w:rFonts w:hint="eastAsia"/>
          <w:color w:val="auto"/>
          <w:sz w:val="24"/>
          <w:highlight w:val="none"/>
        </w:rPr>
      </w:pPr>
    </w:p>
    <w:p w14:paraId="49C64B24">
      <w:pPr>
        <w:rPr>
          <w:rFonts w:hint="eastAsia"/>
          <w:color w:val="auto"/>
          <w:sz w:val="24"/>
          <w:highlight w:val="none"/>
        </w:rPr>
      </w:pPr>
    </w:p>
    <w:p w14:paraId="5529CE93">
      <w:pPr>
        <w:pStyle w:val="2"/>
        <w:rPr>
          <w:rFonts w:hint="eastAsia"/>
          <w:color w:val="auto"/>
          <w:sz w:val="24"/>
          <w:highlight w:val="none"/>
        </w:rPr>
      </w:pPr>
    </w:p>
    <w:p w14:paraId="511005E8">
      <w:pPr>
        <w:rPr>
          <w:rFonts w:hint="eastAsia"/>
          <w:color w:val="auto"/>
          <w:sz w:val="24"/>
          <w:highlight w:val="none"/>
        </w:rPr>
      </w:pPr>
    </w:p>
    <w:p w14:paraId="5F4B2137">
      <w:pPr>
        <w:pStyle w:val="2"/>
        <w:rPr>
          <w:rFonts w:hint="eastAsia"/>
        </w:rPr>
      </w:pPr>
    </w:p>
    <w:p w14:paraId="7687A037">
      <w:pPr>
        <w:jc w:val="center"/>
        <w:rPr>
          <w:rFonts w:ascii="仿宋" w:hAnsi="仿宋" w:eastAsia="仿宋" w:cs="仿宋"/>
          <w:color w:val="auto"/>
          <w:sz w:val="20"/>
          <w:szCs w:val="20"/>
          <w:highlight w:val="none"/>
        </w:rPr>
      </w:pP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w:t>
      </w:r>
    </w:p>
    <w:p w14:paraId="4EC1CBC2">
      <w:pPr>
        <w:jc w:val="center"/>
        <w:rPr>
          <w:rFonts w:ascii="仿宋" w:hAnsi="仿宋" w:eastAsia="仿宋" w:cs="仿宋"/>
          <w:color w:val="auto"/>
          <w:sz w:val="20"/>
          <w:szCs w:val="20"/>
          <w:highlight w:val="none"/>
        </w:rPr>
      </w:pPr>
    </w:p>
    <w:p w14:paraId="4BE74EA1">
      <w:pPr>
        <w:jc w:val="center"/>
        <w:rPr>
          <w:rFonts w:ascii="仿宋" w:hAnsi="仿宋" w:eastAsia="仿宋" w:cs="仿宋"/>
          <w:color w:val="auto"/>
          <w:sz w:val="20"/>
          <w:szCs w:val="20"/>
          <w:highlight w:val="none"/>
        </w:rPr>
      </w:pPr>
    </w:p>
    <w:p w14:paraId="4577A61A">
      <w:pPr>
        <w:jc w:val="center"/>
        <w:rPr>
          <w:rFonts w:ascii="仿宋" w:hAnsi="仿宋" w:eastAsia="仿宋" w:cs="仿宋"/>
          <w:color w:val="auto"/>
          <w:sz w:val="20"/>
          <w:szCs w:val="20"/>
          <w:highlight w:val="none"/>
        </w:rPr>
      </w:pPr>
    </w:p>
    <w:p w14:paraId="683D5D7A">
      <w:pPr>
        <w:rPr>
          <w:rFonts w:ascii="仿宋" w:hAnsi="仿宋" w:eastAsia="仿宋" w:cs="仿宋"/>
          <w:color w:val="auto"/>
          <w:sz w:val="20"/>
          <w:szCs w:val="20"/>
          <w:highlight w:val="none"/>
        </w:rPr>
      </w:pPr>
    </w:p>
    <w:p w14:paraId="37AB0EC8">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投标文件二</w:t>
      </w:r>
    </w:p>
    <w:p w14:paraId="307CFE4C">
      <w:pPr>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技术标</w:t>
      </w:r>
      <w:r>
        <w:rPr>
          <w:rFonts w:ascii="仿宋" w:hAnsi="仿宋" w:eastAsia="仿宋" w:cs="仿宋"/>
          <w:color w:val="auto"/>
          <w:sz w:val="44"/>
          <w:szCs w:val="44"/>
          <w:highlight w:val="none"/>
        </w:rPr>
        <w:t xml:space="preserve"> </w:t>
      </w:r>
    </w:p>
    <w:p w14:paraId="12A71360">
      <w:pPr>
        <w:jc w:val="center"/>
        <w:rPr>
          <w:rFonts w:ascii="仿宋" w:hAnsi="仿宋" w:eastAsia="仿宋" w:cs="仿宋"/>
          <w:color w:val="auto"/>
          <w:sz w:val="44"/>
          <w:szCs w:val="44"/>
          <w:highlight w:val="none"/>
        </w:rPr>
      </w:pPr>
    </w:p>
    <w:p w14:paraId="355758C7">
      <w:pPr>
        <w:rPr>
          <w:rFonts w:ascii="仿宋" w:hAnsi="仿宋" w:eastAsia="仿宋" w:cs="仿宋"/>
          <w:color w:val="auto"/>
          <w:sz w:val="28"/>
          <w:szCs w:val="28"/>
          <w:highlight w:val="none"/>
        </w:rPr>
      </w:pPr>
    </w:p>
    <w:p w14:paraId="42AF7F5E">
      <w:pPr>
        <w:rPr>
          <w:rFonts w:ascii="仿宋" w:hAnsi="仿宋" w:eastAsia="仿宋" w:cs="仿宋"/>
          <w:color w:val="auto"/>
          <w:sz w:val="28"/>
          <w:szCs w:val="28"/>
          <w:highlight w:val="none"/>
        </w:rPr>
      </w:pPr>
    </w:p>
    <w:p w14:paraId="275FA429">
      <w:pPr>
        <w:rPr>
          <w:rFonts w:ascii="仿宋" w:hAnsi="仿宋" w:eastAsia="仿宋" w:cs="仿宋"/>
          <w:color w:val="auto"/>
          <w:sz w:val="28"/>
          <w:szCs w:val="28"/>
          <w:highlight w:val="none"/>
        </w:rPr>
      </w:pPr>
    </w:p>
    <w:p w14:paraId="5EC1C851">
      <w:pPr>
        <w:rPr>
          <w:rFonts w:ascii="仿宋" w:hAnsi="仿宋" w:eastAsia="仿宋" w:cs="仿宋"/>
          <w:color w:val="auto"/>
          <w:sz w:val="28"/>
          <w:szCs w:val="28"/>
          <w:highlight w:val="none"/>
        </w:rPr>
      </w:pPr>
    </w:p>
    <w:p w14:paraId="29D14098">
      <w:pPr>
        <w:rPr>
          <w:rFonts w:ascii="仿宋" w:hAnsi="仿宋" w:eastAsia="仿宋" w:cs="仿宋"/>
          <w:color w:val="auto"/>
          <w:sz w:val="28"/>
          <w:szCs w:val="28"/>
          <w:highlight w:val="none"/>
        </w:rPr>
      </w:pPr>
    </w:p>
    <w:p w14:paraId="111D4BEA">
      <w:pPr>
        <w:rPr>
          <w:rFonts w:ascii="仿宋" w:hAnsi="仿宋" w:eastAsia="仿宋" w:cs="仿宋"/>
          <w:color w:val="auto"/>
          <w:sz w:val="28"/>
          <w:szCs w:val="28"/>
          <w:highlight w:val="none"/>
        </w:rPr>
      </w:pPr>
    </w:p>
    <w:p w14:paraId="0A214C10">
      <w:pPr>
        <w:rPr>
          <w:rFonts w:ascii="仿宋" w:hAnsi="仿宋" w:eastAsia="仿宋" w:cs="仿宋"/>
          <w:color w:val="auto"/>
          <w:sz w:val="28"/>
          <w:szCs w:val="28"/>
          <w:highlight w:val="none"/>
        </w:rPr>
      </w:pPr>
    </w:p>
    <w:p w14:paraId="3FB972FD">
      <w:pPr>
        <w:jc w:val="center"/>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p>
    <w:p w14:paraId="16053309">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val="en-US" w:eastAsia="zh-CN"/>
        </w:rPr>
        <w:t>或委托代理人</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签字或盖章</w:t>
      </w:r>
      <w:r>
        <w:rPr>
          <w:rFonts w:hint="eastAsia" w:ascii="仿宋" w:hAnsi="仿宋" w:eastAsia="仿宋" w:cs="仿宋"/>
          <w:color w:val="auto"/>
          <w:sz w:val="28"/>
          <w:szCs w:val="28"/>
          <w:highlight w:val="none"/>
        </w:rPr>
        <w:t>）</w:t>
      </w:r>
    </w:p>
    <w:p w14:paraId="2AF1E4DB">
      <w:pPr>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91DD654">
      <w:pPr>
        <w:jc w:val="center"/>
        <w:rPr>
          <w:rFonts w:ascii="仿宋" w:hAnsi="仿宋" w:eastAsia="仿宋" w:cs="仿宋"/>
          <w:color w:val="auto"/>
          <w:sz w:val="20"/>
          <w:szCs w:val="20"/>
          <w:highlight w:val="none"/>
        </w:rPr>
      </w:pP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w:t>
      </w:r>
    </w:p>
    <w:p w14:paraId="6CE2C9AD">
      <w:pPr>
        <w:jc w:val="center"/>
        <w:rPr>
          <w:rFonts w:ascii="仿宋" w:hAnsi="仿宋" w:eastAsia="仿宋" w:cs="仿宋"/>
          <w:color w:val="auto"/>
          <w:sz w:val="20"/>
          <w:szCs w:val="20"/>
          <w:highlight w:val="none"/>
        </w:rPr>
      </w:pPr>
    </w:p>
    <w:p w14:paraId="2B2D0DC1">
      <w:pPr>
        <w:jc w:val="center"/>
        <w:rPr>
          <w:rFonts w:ascii="仿宋" w:hAnsi="仿宋" w:eastAsia="仿宋" w:cs="仿宋"/>
          <w:color w:val="auto"/>
          <w:sz w:val="20"/>
          <w:szCs w:val="20"/>
          <w:highlight w:val="none"/>
        </w:rPr>
      </w:pPr>
    </w:p>
    <w:p w14:paraId="34D87DC0">
      <w:pPr>
        <w:jc w:val="center"/>
        <w:rPr>
          <w:rFonts w:ascii="仿宋" w:hAnsi="仿宋" w:eastAsia="仿宋" w:cs="仿宋"/>
          <w:color w:val="auto"/>
          <w:sz w:val="20"/>
          <w:szCs w:val="20"/>
          <w:highlight w:val="none"/>
        </w:rPr>
      </w:pPr>
    </w:p>
    <w:p w14:paraId="58FE3B5E">
      <w:pPr>
        <w:rPr>
          <w:rFonts w:ascii="仿宋" w:hAnsi="仿宋" w:eastAsia="仿宋" w:cs="仿宋"/>
          <w:color w:val="auto"/>
          <w:sz w:val="20"/>
          <w:szCs w:val="20"/>
          <w:highlight w:val="none"/>
        </w:rPr>
      </w:pPr>
    </w:p>
    <w:p w14:paraId="50D425C1">
      <w:pPr>
        <w:jc w:val="center"/>
        <w:rPr>
          <w:rFonts w:hint="eastAsia" w:ascii="仿宋" w:hAnsi="仿宋" w:eastAsia="仿宋" w:cs="仿宋"/>
          <w:color w:val="auto"/>
          <w:sz w:val="44"/>
          <w:szCs w:val="44"/>
          <w:highlight w:val="none"/>
          <w:lang w:val="en-US" w:eastAsia="zh-CN"/>
        </w:rPr>
      </w:pPr>
    </w:p>
    <w:p w14:paraId="38E81F66">
      <w:pPr>
        <w:jc w:val="center"/>
        <w:rPr>
          <w:rFonts w:hint="eastAsia" w:ascii="仿宋" w:hAnsi="仿宋" w:eastAsia="仿宋" w:cs="仿宋"/>
          <w:color w:val="auto"/>
          <w:sz w:val="44"/>
          <w:szCs w:val="44"/>
          <w:highlight w:val="none"/>
          <w:lang w:val="en-US" w:eastAsia="zh-CN"/>
        </w:rPr>
      </w:pPr>
    </w:p>
    <w:p w14:paraId="030114EA">
      <w:pPr>
        <w:spacing w:line="480" w:lineRule="auto"/>
        <w:ind w:right="980" w:firstLine="602" w:firstLineChars="200"/>
        <w:jc w:val="center"/>
        <w:rPr>
          <w:rFonts w:hint="eastAsia" w:ascii="仿宋" w:hAnsi="仿宋" w:eastAsia="仿宋" w:cs="仿宋"/>
          <w:b/>
          <w:bCs/>
          <w:color w:val="auto"/>
          <w:kern w:val="0"/>
          <w:sz w:val="30"/>
          <w:szCs w:val="30"/>
          <w:highlight w:val="none"/>
        </w:rPr>
      </w:pPr>
    </w:p>
    <w:p w14:paraId="6469C08C">
      <w:pPr>
        <w:spacing w:line="480" w:lineRule="auto"/>
        <w:ind w:right="980" w:firstLine="602" w:firstLineChars="200"/>
        <w:jc w:val="center"/>
        <w:rPr>
          <w:rFonts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目录</w:t>
      </w:r>
    </w:p>
    <w:p w14:paraId="175E7C7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公司实力</w:t>
      </w:r>
      <w:r>
        <w:rPr>
          <w:rFonts w:hint="eastAsia" w:ascii="宋体" w:hAnsi="宋体" w:cs="宋体"/>
          <w:color w:val="auto"/>
          <w:sz w:val="21"/>
          <w:szCs w:val="21"/>
          <w:highlight w:val="none"/>
          <w:lang w:eastAsia="zh-CN"/>
        </w:rPr>
        <w:t>；</w:t>
      </w:r>
    </w:p>
    <w:p w14:paraId="7F4E6D81">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沙盘模型工艺技术</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格式自拟</w:t>
      </w:r>
      <w:r>
        <w:rPr>
          <w:rFonts w:hint="eastAsia" w:ascii="宋体" w:hAnsi="宋体" w:cs="宋体"/>
          <w:color w:val="auto"/>
          <w:sz w:val="21"/>
          <w:szCs w:val="21"/>
          <w:highlight w:val="none"/>
          <w:lang w:eastAsia="zh-CN"/>
        </w:rPr>
        <w:t>）</w:t>
      </w:r>
    </w:p>
    <w:p w14:paraId="3F96291A">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品牌墙工艺技术</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格式自拟</w:t>
      </w:r>
      <w:r>
        <w:rPr>
          <w:rFonts w:hint="eastAsia" w:ascii="宋体" w:hAnsi="宋体" w:cs="宋体"/>
          <w:color w:val="auto"/>
          <w:sz w:val="21"/>
          <w:szCs w:val="21"/>
          <w:highlight w:val="none"/>
          <w:lang w:eastAsia="zh-CN"/>
        </w:rPr>
        <w:t>）</w:t>
      </w:r>
    </w:p>
    <w:p w14:paraId="16347FC6">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项目进度保证措施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格式自拟</w:t>
      </w:r>
      <w:r>
        <w:rPr>
          <w:rFonts w:hint="eastAsia" w:ascii="宋体" w:hAnsi="宋体" w:cs="宋体"/>
          <w:color w:val="auto"/>
          <w:sz w:val="21"/>
          <w:szCs w:val="21"/>
          <w:highlight w:val="none"/>
          <w:lang w:eastAsia="zh-CN"/>
        </w:rPr>
        <w:t>）</w:t>
      </w:r>
    </w:p>
    <w:p w14:paraId="29846701">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服务保障；</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格式自拟</w:t>
      </w:r>
      <w:r>
        <w:rPr>
          <w:rFonts w:hint="eastAsia" w:ascii="宋体" w:hAnsi="宋体" w:cs="宋体"/>
          <w:color w:val="auto"/>
          <w:sz w:val="21"/>
          <w:szCs w:val="21"/>
          <w:highlight w:val="none"/>
          <w:lang w:eastAsia="zh-CN"/>
        </w:rPr>
        <w:t>）</w:t>
      </w:r>
    </w:p>
    <w:p w14:paraId="2FE8EF8A">
      <w:pPr>
        <w:jc w:val="center"/>
        <w:rPr>
          <w:rFonts w:hint="eastAsia" w:ascii="仿宋" w:hAnsi="仿宋" w:eastAsia="仿宋" w:cs="仿宋"/>
          <w:color w:val="auto"/>
          <w:sz w:val="44"/>
          <w:szCs w:val="44"/>
          <w:highlight w:val="none"/>
          <w:lang w:val="en-US" w:eastAsia="zh-CN"/>
        </w:rPr>
      </w:pPr>
    </w:p>
    <w:p w14:paraId="3BA3798F">
      <w:pPr>
        <w:jc w:val="center"/>
        <w:rPr>
          <w:rFonts w:hint="eastAsia" w:ascii="仿宋" w:hAnsi="仿宋" w:eastAsia="仿宋" w:cs="仿宋"/>
          <w:color w:val="auto"/>
          <w:sz w:val="44"/>
          <w:szCs w:val="44"/>
          <w:highlight w:val="none"/>
          <w:lang w:val="en-US" w:eastAsia="zh-CN"/>
        </w:rPr>
      </w:pPr>
    </w:p>
    <w:p w14:paraId="6F77BDA3">
      <w:pPr>
        <w:jc w:val="center"/>
        <w:rPr>
          <w:rFonts w:hint="eastAsia" w:ascii="仿宋" w:hAnsi="仿宋" w:eastAsia="仿宋" w:cs="仿宋"/>
          <w:color w:val="auto"/>
          <w:sz w:val="44"/>
          <w:szCs w:val="44"/>
          <w:highlight w:val="none"/>
          <w:lang w:val="en-US" w:eastAsia="zh-CN"/>
        </w:rPr>
      </w:pPr>
    </w:p>
    <w:p w14:paraId="333DEFA9">
      <w:pPr>
        <w:jc w:val="center"/>
        <w:rPr>
          <w:rFonts w:hint="eastAsia" w:ascii="仿宋" w:hAnsi="仿宋" w:eastAsia="仿宋" w:cs="仿宋"/>
          <w:color w:val="auto"/>
          <w:sz w:val="44"/>
          <w:szCs w:val="44"/>
          <w:highlight w:val="none"/>
          <w:lang w:val="en-US" w:eastAsia="zh-CN"/>
        </w:rPr>
      </w:pPr>
    </w:p>
    <w:p w14:paraId="085AF1EB">
      <w:pPr>
        <w:jc w:val="center"/>
        <w:rPr>
          <w:rFonts w:hint="eastAsia" w:ascii="仿宋" w:hAnsi="仿宋" w:eastAsia="仿宋" w:cs="仿宋"/>
          <w:color w:val="auto"/>
          <w:sz w:val="44"/>
          <w:szCs w:val="44"/>
          <w:highlight w:val="none"/>
          <w:lang w:val="en-US" w:eastAsia="zh-CN"/>
        </w:rPr>
      </w:pPr>
    </w:p>
    <w:p w14:paraId="5B444BCB">
      <w:pPr>
        <w:jc w:val="center"/>
        <w:rPr>
          <w:rFonts w:hint="eastAsia" w:ascii="仿宋" w:hAnsi="仿宋" w:eastAsia="仿宋" w:cs="仿宋"/>
          <w:color w:val="auto"/>
          <w:sz w:val="44"/>
          <w:szCs w:val="44"/>
          <w:highlight w:val="none"/>
          <w:lang w:val="en-US" w:eastAsia="zh-CN"/>
        </w:rPr>
      </w:pPr>
    </w:p>
    <w:p w14:paraId="4182DD54">
      <w:pPr>
        <w:jc w:val="center"/>
        <w:rPr>
          <w:rFonts w:hint="eastAsia" w:ascii="仿宋" w:hAnsi="仿宋" w:eastAsia="仿宋" w:cs="仿宋"/>
          <w:color w:val="auto"/>
          <w:sz w:val="44"/>
          <w:szCs w:val="44"/>
          <w:highlight w:val="none"/>
          <w:lang w:val="en-US" w:eastAsia="zh-CN"/>
        </w:rPr>
      </w:pPr>
    </w:p>
    <w:p w14:paraId="26DADDEC">
      <w:pPr>
        <w:jc w:val="center"/>
        <w:rPr>
          <w:rFonts w:hint="eastAsia" w:ascii="仿宋" w:hAnsi="仿宋" w:eastAsia="仿宋" w:cs="仿宋"/>
          <w:color w:val="auto"/>
          <w:sz w:val="44"/>
          <w:szCs w:val="44"/>
          <w:highlight w:val="none"/>
          <w:lang w:val="en-US" w:eastAsia="zh-CN"/>
        </w:rPr>
      </w:pPr>
    </w:p>
    <w:p w14:paraId="6D6D19B7">
      <w:pPr>
        <w:jc w:val="center"/>
        <w:rPr>
          <w:rFonts w:hint="eastAsia" w:ascii="仿宋" w:hAnsi="仿宋" w:eastAsia="仿宋" w:cs="仿宋"/>
          <w:color w:val="auto"/>
          <w:sz w:val="44"/>
          <w:szCs w:val="44"/>
          <w:highlight w:val="none"/>
          <w:lang w:val="en-US" w:eastAsia="zh-CN"/>
        </w:rPr>
      </w:pPr>
    </w:p>
    <w:p w14:paraId="4E49F187">
      <w:pPr>
        <w:jc w:val="center"/>
        <w:rPr>
          <w:rFonts w:hint="eastAsia" w:ascii="仿宋" w:hAnsi="仿宋" w:eastAsia="仿宋" w:cs="仿宋"/>
          <w:color w:val="auto"/>
          <w:sz w:val="44"/>
          <w:szCs w:val="44"/>
          <w:highlight w:val="none"/>
          <w:lang w:val="en-US" w:eastAsia="zh-CN"/>
        </w:rPr>
      </w:pPr>
    </w:p>
    <w:p w14:paraId="10B88806">
      <w:pPr>
        <w:jc w:val="center"/>
        <w:rPr>
          <w:rFonts w:hint="eastAsia" w:ascii="仿宋" w:hAnsi="仿宋" w:eastAsia="仿宋" w:cs="仿宋"/>
          <w:color w:val="auto"/>
          <w:sz w:val="44"/>
          <w:szCs w:val="44"/>
          <w:highlight w:val="none"/>
          <w:lang w:val="en-US" w:eastAsia="zh-CN"/>
        </w:rPr>
      </w:pPr>
    </w:p>
    <w:p w14:paraId="0FFA9A0E">
      <w:pPr>
        <w:jc w:val="center"/>
        <w:rPr>
          <w:rFonts w:hint="eastAsia" w:ascii="仿宋" w:hAnsi="仿宋" w:eastAsia="仿宋" w:cs="仿宋"/>
          <w:color w:val="auto"/>
          <w:sz w:val="44"/>
          <w:szCs w:val="44"/>
          <w:highlight w:val="none"/>
          <w:lang w:val="en-US" w:eastAsia="zh-CN"/>
        </w:rPr>
      </w:pPr>
    </w:p>
    <w:p w14:paraId="2D7B93CE">
      <w:pPr>
        <w:jc w:val="center"/>
        <w:rPr>
          <w:rFonts w:hint="eastAsia" w:ascii="仿宋" w:hAnsi="仿宋" w:eastAsia="仿宋" w:cs="仿宋"/>
          <w:color w:val="auto"/>
          <w:sz w:val="44"/>
          <w:szCs w:val="44"/>
          <w:highlight w:val="none"/>
          <w:lang w:val="en-US" w:eastAsia="zh-CN"/>
        </w:rPr>
      </w:pPr>
    </w:p>
    <w:p w14:paraId="39162E0E">
      <w:pPr>
        <w:jc w:val="center"/>
        <w:rPr>
          <w:rFonts w:hint="eastAsia" w:ascii="仿宋" w:hAnsi="仿宋" w:eastAsia="仿宋" w:cs="仿宋"/>
          <w:color w:val="auto"/>
          <w:sz w:val="44"/>
          <w:szCs w:val="44"/>
          <w:highlight w:val="none"/>
          <w:lang w:val="en-US" w:eastAsia="zh-CN"/>
        </w:rPr>
      </w:pPr>
    </w:p>
    <w:p w14:paraId="62ECC440">
      <w:pPr>
        <w:jc w:val="center"/>
        <w:rPr>
          <w:rFonts w:hint="eastAsia" w:ascii="仿宋" w:hAnsi="仿宋" w:eastAsia="仿宋" w:cs="仿宋"/>
          <w:color w:val="auto"/>
          <w:sz w:val="44"/>
          <w:szCs w:val="44"/>
          <w:highlight w:val="none"/>
          <w:lang w:val="en-US" w:eastAsia="zh-CN"/>
        </w:rPr>
      </w:pPr>
    </w:p>
    <w:p w14:paraId="6E110459">
      <w:pPr>
        <w:jc w:val="center"/>
        <w:rPr>
          <w:rFonts w:hint="eastAsia" w:ascii="仿宋" w:hAnsi="仿宋" w:eastAsia="仿宋" w:cs="仿宋"/>
          <w:color w:val="auto"/>
          <w:sz w:val="44"/>
          <w:szCs w:val="44"/>
          <w:highlight w:val="none"/>
          <w:lang w:val="en-US" w:eastAsia="zh-CN"/>
        </w:rPr>
      </w:pPr>
    </w:p>
    <w:p w14:paraId="7606B4EF">
      <w:pPr>
        <w:jc w:val="center"/>
        <w:rPr>
          <w:rFonts w:hint="eastAsia" w:ascii="仿宋" w:hAnsi="仿宋" w:eastAsia="仿宋" w:cs="仿宋"/>
          <w:color w:val="auto"/>
          <w:sz w:val="44"/>
          <w:szCs w:val="44"/>
          <w:highlight w:val="none"/>
          <w:lang w:val="en-US" w:eastAsia="zh-CN"/>
        </w:rPr>
      </w:pPr>
    </w:p>
    <w:p w14:paraId="7EE2A3EC">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投标文件三</w:t>
      </w:r>
    </w:p>
    <w:p w14:paraId="30FF0476">
      <w:pPr>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商务标</w:t>
      </w:r>
      <w:r>
        <w:rPr>
          <w:rFonts w:ascii="仿宋" w:hAnsi="仿宋" w:eastAsia="仿宋" w:cs="仿宋"/>
          <w:color w:val="auto"/>
          <w:sz w:val="44"/>
          <w:szCs w:val="44"/>
          <w:highlight w:val="none"/>
        </w:rPr>
        <w:t xml:space="preserve"> </w:t>
      </w:r>
    </w:p>
    <w:p w14:paraId="2B1AC4CF">
      <w:pPr>
        <w:jc w:val="center"/>
        <w:rPr>
          <w:rFonts w:ascii="仿宋" w:hAnsi="仿宋" w:eastAsia="仿宋" w:cs="仿宋"/>
          <w:color w:val="auto"/>
          <w:sz w:val="44"/>
          <w:szCs w:val="44"/>
          <w:highlight w:val="none"/>
        </w:rPr>
      </w:pPr>
    </w:p>
    <w:p w14:paraId="72DA00C6">
      <w:pPr>
        <w:rPr>
          <w:rFonts w:ascii="仿宋" w:hAnsi="仿宋" w:eastAsia="仿宋" w:cs="仿宋"/>
          <w:color w:val="auto"/>
          <w:sz w:val="28"/>
          <w:szCs w:val="28"/>
          <w:highlight w:val="none"/>
        </w:rPr>
      </w:pPr>
    </w:p>
    <w:p w14:paraId="46AB01BB">
      <w:pPr>
        <w:rPr>
          <w:rFonts w:ascii="仿宋" w:hAnsi="仿宋" w:eastAsia="仿宋" w:cs="仿宋"/>
          <w:color w:val="auto"/>
          <w:sz w:val="28"/>
          <w:szCs w:val="28"/>
          <w:highlight w:val="none"/>
        </w:rPr>
      </w:pPr>
    </w:p>
    <w:p w14:paraId="70FF1740">
      <w:pPr>
        <w:rPr>
          <w:rFonts w:ascii="仿宋" w:hAnsi="仿宋" w:eastAsia="仿宋" w:cs="仿宋"/>
          <w:color w:val="auto"/>
          <w:sz w:val="28"/>
          <w:szCs w:val="28"/>
          <w:highlight w:val="none"/>
        </w:rPr>
      </w:pPr>
    </w:p>
    <w:p w14:paraId="3E1B74E6">
      <w:pPr>
        <w:rPr>
          <w:rFonts w:ascii="仿宋" w:hAnsi="仿宋" w:eastAsia="仿宋" w:cs="仿宋"/>
          <w:color w:val="auto"/>
          <w:sz w:val="28"/>
          <w:szCs w:val="28"/>
          <w:highlight w:val="none"/>
        </w:rPr>
      </w:pPr>
    </w:p>
    <w:p w14:paraId="07573865">
      <w:pPr>
        <w:rPr>
          <w:rFonts w:ascii="仿宋" w:hAnsi="仿宋" w:eastAsia="仿宋" w:cs="仿宋"/>
          <w:color w:val="auto"/>
          <w:sz w:val="28"/>
          <w:szCs w:val="28"/>
          <w:highlight w:val="none"/>
        </w:rPr>
      </w:pPr>
    </w:p>
    <w:p w14:paraId="1950A32C">
      <w:pPr>
        <w:rPr>
          <w:rFonts w:ascii="仿宋" w:hAnsi="仿宋" w:eastAsia="仿宋" w:cs="仿宋"/>
          <w:color w:val="auto"/>
          <w:sz w:val="28"/>
          <w:szCs w:val="28"/>
          <w:highlight w:val="none"/>
        </w:rPr>
      </w:pPr>
    </w:p>
    <w:p w14:paraId="670BCA8A">
      <w:pPr>
        <w:rPr>
          <w:rFonts w:ascii="仿宋" w:hAnsi="仿宋" w:eastAsia="仿宋" w:cs="仿宋"/>
          <w:color w:val="auto"/>
          <w:sz w:val="28"/>
          <w:szCs w:val="28"/>
          <w:highlight w:val="none"/>
        </w:rPr>
      </w:pPr>
    </w:p>
    <w:p w14:paraId="242CFF8A">
      <w:pPr>
        <w:jc w:val="center"/>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p>
    <w:p w14:paraId="1CA8F031">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val="en-US" w:eastAsia="zh-CN"/>
        </w:rPr>
        <w:t>或委托代理人</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签字或盖章</w:t>
      </w:r>
      <w:r>
        <w:rPr>
          <w:rFonts w:hint="eastAsia" w:ascii="仿宋" w:hAnsi="仿宋" w:eastAsia="仿宋" w:cs="仿宋"/>
          <w:color w:val="auto"/>
          <w:sz w:val="28"/>
          <w:szCs w:val="28"/>
          <w:highlight w:val="none"/>
        </w:rPr>
        <w:t>）</w:t>
      </w:r>
    </w:p>
    <w:p w14:paraId="6A6671FA">
      <w:pPr>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1F5D0ED0">
      <w:pPr>
        <w:rPr>
          <w:rFonts w:ascii="仿宋" w:hAnsi="仿宋" w:eastAsia="仿宋" w:cs="仿宋"/>
          <w:color w:val="auto"/>
          <w:sz w:val="28"/>
          <w:szCs w:val="28"/>
          <w:highlight w:val="none"/>
        </w:rPr>
      </w:pPr>
      <w:r>
        <w:rPr>
          <w:rFonts w:ascii="仿宋" w:hAnsi="仿宋" w:eastAsia="仿宋" w:cs="仿宋"/>
          <w:color w:val="auto"/>
          <w:sz w:val="28"/>
          <w:szCs w:val="28"/>
          <w:highlight w:val="none"/>
        </w:rPr>
        <w:br w:type="page"/>
      </w:r>
    </w:p>
    <w:p w14:paraId="42664543">
      <w:pPr>
        <w:spacing w:line="480" w:lineRule="auto"/>
        <w:ind w:right="980" w:firstLine="602" w:firstLineChars="200"/>
        <w:jc w:val="center"/>
        <w:rPr>
          <w:rFonts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目录</w:t>
      </w:r>
    </w:p>
    <w:p w14:paraId="0FBEF8E3">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3A5B116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 标 函；</w:t>
      </w:r>
    </w:p>
    <w:p w14:paraId="026B8E5E">
      <w:pPr>
        <w:keepNext w:val="0"/>
        <w:keepLines w:val="0"/>
        <w:pageBreakBefore w:val="0"/>
        <w:widowControl w:val="0"/>
        <w:kinsoku/>
        <w:wordWrap/>
        <w:overflowPunct/>
        <w:topLinePunct w:val="0"/>
        <w:autoSpaceDE/>
        <w:autoSpaceDN/>
        <w:bidi w:val="0"/>
        <w:spacing w:line="51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分项报价表；</w:t>
      </w:r>
    </w:p>
    <w:p w14:paraId="413D81A0">
      <w:pPr>
        <w:spacing w:line="360" w:lineRule="exact"/>
        <w:ind w:firstLine="443" w:firstLineChars="147"/>
        <w:jc w:val="center"/>
        <w:rPr>
          <w:rFonts w:hint="eastAsia" w:ascii="宋体" w:hAnsi="宋体"/>
          <w:b/>
          <w:color w:val="auto"/>
          <w:sz w:val="30"/>
          <w:szCs w:val="30"/>
          <w:highlight w:val="none"/>
          <w:lang w:val="en-US" w:eastAsia="zh-CN"/>
        </w:rPr>
      </w:pPr>
    </w:p>
    <w:p w14:paraId="3187C5B3">
      <w:pPr>
        <w:spacing w:line="360" w:lineRule="exact"/>
        <w:ind w:firstLine="443" w:firstLineChars="147"/>
        <w:jc w:val="center"/>
        <w:rPr>
          <w:rFonts w:hint="eastAsia" w:ascii="宋体" w:hAnsi="宋体"/>
          <w:b/>
          <w:color w:val="auto"/>
          <w:sz w:val="30"/>
          <w:szCs w:val="30"/>
          <w:highlight w:val="none"/>
          <w:lang w:val="en-US" w:eastAsia="zh-CN"/>
        </w:rPr>
      </w:pPr>
    </w:p>
    <w:p w14:paraId="31F058DB">
      <w:pPr>
        <w:spacing w:line="360" w:lineRule="exact"/>
        <w:ind w:firstLine="443" w:firstLineChars="147"/>
        <w:jc w:val="center"/>
        <w:rPr>
          <w:rFonts w:hint="eastAsia" w:ascii="宋体" w:hAnsi="宋体"/>
          <w:b/>
          <w:color w:val="auto"/>
          <w:sz w:val="30"/>
          <w:szCs w:val="30"/>
          <w:highlight w:val="none"/>
          <w:lang w:val="en-US" w:eastAsia="zh-CN"/>
        </w:rPr>
      </w:pPr>
    </w:p>
    <w:p w14:paraId="5896222C">
      <w:pPr>
        <w:spacing w:line="360" w:lineRule="exact"/>
        <w:ind w:firstLine="443" w:firstLineChars="147"/>
        <w:jc w:val="center"/>
        <w:rPr>
          <w:rFonts w:hint="eastAsia" w:ascii="宋体" w:hAnsi="宋体"/>
          <w:b/>
          <w:color w:val="auto"/>
          <w:sz w:val="30"/>
          <w:szCs w:val="30"/>
          <w:highlight w:val="none"/>
          <w:lang w:val="en-US" w:eastAsia="zh-CN"/>
        </w:rPr>
      </w:pPr>
    </w:p>
    <w:p w14:paraId="6452ABBE">
      <w:pPr>
        <w:spacing w:line="360" w:lineRule="exact"/>
        <w:ind w:firstLine="443" w:firstLineChars="147"/>
        <w:jc w:val="center"/>
        <w:rPr>
          <w:rFonts w:hint="eastAsia" w:ascii="宋体" w:hAnsi="宋体"/>
          <w:b/>
          <w:color w:val="auto"/>
          <w:sz w:val="30"/>
          <w:szCs w:val="30"/>
          <w:highlight w:val="none"/>
          <w:lang w:val="en-US" w:eastAsia="zh-CN"/>
        </w:rPr>
      </w:pPr>
    </w:p>
    <w:p w14:paraId="66B77509">
      <w:pPr>
        <w:spacing w:line="360" w:lineRule="exact"/>
        <w:ind w:firstLine="443" w:firstLineChars="147"/>
        <w:jc w:val="center"/>
        <w:rPr>
          <w:rFonts w:hint="eastAsia" w:ascii="宋体" w:hAnsi="宋体"/>
          <w:b/>
          <w:color w:val="auto"/>
          <w:sz w:val="30"/>
          <w:szCs w:val="30"/>
          <w:highlight w:val="none"/>
          <w:lang w:val="en-US" w:eastAsia="zh-CN"/>
        </w:rPr>
      </w:pPr>
    </w:p>
    <w:p w14:paraId="3F70079D">
      <w:pPr>
        <w:spacing w:line="360" w:lineRule="exact"/>
        <w:ind w:firstLine="443" w:firstLineChars="147"/>
        <w:jc w:val="center"/>
        <w:rPr>
          <w:rFonts w:hint="eastAsia" w:ascii="宋体" w:hAnsi="宋体"/>
          <w:b/>
          <w:color w:val="auto"/>
          <w:sz w:val="30"/>
          <w:szCs w:val="30"/>
          <w:highlight w:val="none"/>
          <w:lang w:val="en-US" w:eastAsia="zh-CN"/>
        </w:rPr>
      </w:pPr>
    </w:p>
    <w:p w14:paraId="693CF95E">
      <w:pPr>
        <w:spacing w:line="360" w:lineRule="exact"/>
        <w:ind w:firstLine="443" w:firstLineChars="147"/>
        <w:jc w:val="center"/>
        <w:rPr>
          <w:rFonts w:hint="eastAsia" w:ascii="宋体" w:hAnsi="宋体"/>
          <w:b/>
          <w:color w:val="auto"/>
          <w:sz w:val="30"/>
          <w:szCs w:val="30"/>
          <w:highlight w:val="none"/>
          <w:lang w:val="en-US" w:eastAsia="zh-CN"/>
        </w:rPr>
      </w:pPr>
    </w:p>
    <w:p w14:paraId="3CA1C8DF">
      <w:pPr>
        <w:spacing w:line="360" w:lineRule="exact"/>
        <w:ind w:firstLine="443" w:firstLineChars="147"/>
        <w:jc w:val="center"/>
        <w:rPr>
          <w:rFonts w:hint="eastAsia" w:ascii="宋体" w:hAnsi="宋体"/>
          <w:b/>
          <w:color w:val="auto"/>
          <w:sz w:val="30"/>
          <w:szCs w:val="30"/>
          <w:highlight w:val="none"/>
          <w:lang w:val="en-US" w:eastAsia="zh-CN"/>
        </w:rPr>
      </w:pPr>
    </w:p>
    <w:p w14:paraId="3B29F6F5">
      <w:pPr>
        <w:spacing w:line="360" w:lineRule="exact"/>
        <w:ind w:firstLine="443" w:firstLineChars="147"/>
        <w:jc w:val="center"/>
        <w:rPr>
          <w:rFonts w:hint="eastAsia" w:ascii="宋体" w:hAnsi="宋体"/>
          <w:b/>
          <w:color w:val="auto"/>
          <w:sz w:val="30"/>
          <w:szCs w:val="30"/>
          <w:highlight w:val="none"/>
          <w:lang w:val="en-US" w:eastAsia="zh-CN"/>
        </w:rPr>
      </w:pPr>
    </w:p>
    <w:p w14:paraId="173EBE0F">
      <w:pPr>
        <w:spacing w:line="360" w:lineRule="exact"/>
        <w:ind w:firstLine="443" w:firstLineChars="147"/>
        <w:jc w:val="center"/>
        <w:rPr>
          <w:rFonts w:hint="eastAsia" w:ascii="宋体" w:hAnsi="宋体"/>
          <w:b/>
          <w:color w:val="auto"/>
          <w:sz w:val="30"/>
          <w:szCs w:val="30"/>
          <w:highlight w:val="none"/>
          <w:lang w:val="en-US" w:eastAsia="zh-CN"/>
        </w:rPr>
      </w:pPr>
    </w:p>
    <w:p w14:paraId="5D6F1691">
      <w:pPr>
        <w:spacing w:line="360" w:lineRule="exact"/>
        <w:ind w:firstLine="443" w:firstLineChars="147"/>
        <w:jc w:val="center"/>
        <w:rPr>
          <w:rFonts w:hint="eastAsia" w:ascii="宋体" w:hAnsi="宋体"/>
          <w:b/>
          <w:color w:val="auto"/>
          <w:sz w:val="30"/>
          <w:szCs w:val="30"/>
          <w:highlight w:val="none"/>
          <w:lang w:val="en-US" w:eastAsia="zh-CN"/>
        </w:rPr>
      </w:pPr>
    </w:p>
    <w:p w14:paraId="08FC25C7">
      <w:pPr>
        <w:spacing w:line="360" w:lineRule="exact"/>
        <w:ind w:firstLine="443" w:firstLineChars="147"/>
        <w:jc w:val="center"/>
        <w:rPr>
          <w:rFonts w:hint="eastAsia" w:ascii="宋体" w:hAnsi="宋体"/>
          <w:b/>
          <w:color w:val="auto"/>
          <w:sz w:val="30"/>
          <w:szCs w:val="30"/>
          <w:highlight w:val="none"/>
          <w:lang w:val="en-US" w:eastAsia="zh-CN"/>
        </w:rPr>
      </w:pPr>
    </w:p>
    <w:p w14:paraId="17D4EE14">
      <w:pPr>
        <w:spacing w:line="360" w:lineRule="exact"/>
        <w:ind w:firstLine="443" w:firstLineChars="147"/>
        <w:jc w:val="center"/>
        <w:rPr>
          <w:rFonts w:hint="eastAsia" w:ascii="宋体" w:hAnsi="宋体"/>
          <w:b/>
          <w:color w:val="auto"/>
          <w:sz w:val="30"/>
          <w:szCs w:val="30"/>
          <w:highlight w:val="none"/>
          <w:lang w:val="en-US" w:eastAsia="zh-CN"/>
        </w:rPr>
      </w:pPr>
    </w:p>
    <w:p w14:paraId="50E13D01">
      <w:pPr>
        <w:spacing w:line="360" w:lineRule="exact"/>
        <w:ind w:firstLine="443" w:firstLineChars="147"/>
        <w:jc w:val="center"/>
        <w:rPr>
          <w:rFonts w:hint="eastAsia" w:ascii="宋体" w:hAnsi="宋体"/>
          <w:b/>
          <w:color w:val="auto"/>
          <w:sz w:val="30"/>
          <w:szCs w:val="30"/>
          <w:highlight w:val="none"/>
          <w:lang w:val="en-US" w:eastAsia="zh-CN"/>
        </w:rPr>
      </w:pPr>
    </w:p>
    <w:p w14:paraId="4D498B88">
      <w:pPr>
        <w:spacing w:line="360" w:lineRule="exact"/>
        <w:ind w:firstLine="443" w:firstLineChars="147"/>
        <w:jc w:val="center"/>
        <w:rPr>
          <w:rFonts w:hint="eastAsia" w:ascii="宋体" w:hAnsi="宋体"/>
          <w:b/>
          <w:color w:val="auto"/>
          <w:sz w:val="30"/>
          <w:szCs w:val="30"/>
          <w:highlight w:val="none"/>
          <w:lang w:val="en-US" w:eastAsia="zh-CN"/>
        </w:rPr>
      </w:pPr>
    </w:p>
    <w:p w14:paraId="5DD0354B">
      <w:pPr>
        <w:spacing w:line="360" w:lineRule="exact"/>
        <w:ind w:firstLine="443" w:firstLineChars="147"/>
        <w:jc w:val="center"/>
        <w:rPr>
          <w:rFonts w:hint="eastAsia" w:ascii="宋体" w:hAnsi="宋体"/>
          <w:b/>
          <w:color w:val="auto"/>
          <w:sz w:val="30"/>
          <w:szCs w:val="30"/>
          <w:highlight w:val="none"/>
          <w:lang w:val="en-US" w:eastAsia="zh-CN"/>
        </w:rPr>
      </w:pPr>
    </w:p>
    <w:p w14:paraId="675B65A1">
      <w:pPr>
        <w:spacing w:line="360" w:lineRule="exact"/>
        <w:ind w:firstLine="443" w:firstLineChars="147"/>
        <w:jc w:val="center"/>
        <w:rPr>
          <w:rFonts w:hint="eastAsia" w:ascii="宋体" w:hAnsi="宋体"/>
          <w:b/>
          <w:color w:val="auto"/>
          <w:sz w:val="30"/>
          <w:szCs w:val="30"/>
          <w:highlight w:val="none"/>
          <w:lang w:val="en-US" w:eastAsia="zh-CN"/>
        </w:rPr>
      </w:pPr>
    </w:p>
    <w:p w14:paraId="1A563F96">
      <w:pPr>
        <w:spacing w:line="360" w:lineRule="exact"/>
        <w:ind w:firstLine="443" w:firstLineChars="147"/>
        <w:jc w:val="center"/>
        <w:rPr>
          <w:rFonts w:hint="eastAsia" w:ascii="宋体" w:hAnsi="宋体"/>
          <w:b/>
          <w:color w:val="auto"/>
          <w:sz w:val="30"/>
          <w:szCs w:val="30"/>
          <w:highlight w:val="none"/>
          <w:lang w:val="en-US" w:eastAsia="zh-CN"/>
        </w:rPr>
      </w:pPr>
    </w:p>
    <w:p w14:paraId="7F0BF5DF">
      <w:pPr>
        <w:spacing w:line="360" w:lineRule="exact"/>
        <w:ind w:firstLine="443" w:firstLineChars="147"/>
        <w:jc w:val="center"/>
        <w:rPr>
          <w:rFonts w:hint="eastAsia" w:ascii="宋体" w:hAnsi="宋体"/>
          <w:b/>
          <w:color w:val="auto"/>
          <w:sz w:val="30"/>
          <w:szCs w:val="30"/>
          <w:highlight w:val="none"/>
          <w:lang w:val="en-US" w:eastAsia="zh-CN"/>
        </w:rPr>
      </w:pPr>
    </w:p>
    <w:p w14:paraId="60BA820D">
      <w:pPr>
        <w:spacing w:line="360" w:lineRule="exact"/>
        <w:ind w:firstLine="443" w:firstLineChars="147"/>
        <w:jc w:val="center"/>
        <w:rPr>
          <w:rFonts w:hint="eastAsia" w:ascii="宋体" w:hAnsi="宋体"/>
          <w:b/>
          <w:color w:val="auto"/>
          <w:sz w:val="30"/>
          <w:szCs w:val="30"/>
          <w:highlight w:val="none"/>
          <w:lang w:val="en-US" w:eastAsia="zh-CN"/>
        </w:rPr>
      </w:pPr>
    </w:p>
    <w:p w14:paraId="31E00C8A">
      <w:pPr>
        <w:spacing w:line="360" w:lineRule="exact"/>
        <w:ind w:firstLine="443" w:firstLineChars="147"/>
        <w:jc w:val="center"/>
        <w:rPr>
          <w:rFonts w:hint="eastAsia" w:ascii="宋体" w:hAnsi="宋体"/>
          <w:b/>
          <w:color w:val="auto"/>
          <w:sz w:val="30"/>
          <w:szCs w:val="30"/>
          <w:highlight w:val="none"/>
          <w:lang w:val="en-US" w:eastAsia="zh-CN"/>
        </w:rPr>
      </w:pPr>
    </w:p>
    <w:p w14:paraId="05779605">
      <w:pPr>
        <w:spacing w:line="360" w:lineRule="exact"/>
        <w:ind w:firstLine="443" w:firstLineChars="147"/>
        <w:jc w:val="center"/>
        <w:rPr>
          <w:rFonts w:hint="eastAsia" w:ascii="宋体" w:hAnsi="宋体"/>
          <w:b/>
          <w:color w:val="auto"/>
          <w:sz w:val="30"/>
          <w:szCs w:val="30"/>
          <w:highlight w:val="none"/>
          <w:lang w:val="en-US" w:eastAsia="zh-CN"/>
        </w:rPr>
      </w:pPr>
    </w:p>
    <w:p w14:paraId="4638DA57">
      <w:pPr>
        <w:spacing w:line="360" w:lineRule="exact"/>
        <w:ind w:firstLine="443" w:firstLineChars="147"/>
        <w:jc w:val="center"/>
        <w:rPr>
          <w:rFonts w:hint="eastAsia" w:ascii="宋体" w:hAnsi="宋体"/>
          <w:b/>
          <w:color w:val="auto"/>
          <w:sz w:val="30"/>
          <w:szCs w:val="30"/>
          <w:highlight w:val="none"/>
          <w:lang w:val="en-US" w:eastAsia="zh-CN"/>
        </w:rPr>
      </w:pPr>
    </w:p>
    <w:p w14:paraId="02D67044">
      <w:pPr>
        <w:spacing w:line="360" w:lineRule="exact"/>
        <w:ind w:firstLine="443" w:firstLineChars="147"/>
        <w:jc w:val="center"/>
        <w:rPr>
          <w:rFonts w:hint="eastAsia" w:ascii="宋体" w:hAnsi="宋体"/>
          <w:b/>
          <w:color w:val="auto"/>
          <w:sz w:val="30"/>
          <w:szCs w:val="30"/>
          <w:highlight w:val="none"/>
          <w:lang w:val="en-US" w:eastAsia="zh-CN"/>
        </w:rPr>
      </w:pPr>
    </w:p>
    <w:p w14:paraId="084EC01D">
      <w:pPr>
        <w:spacing w:line="360" w:lineRule="exact"/>
        <w:ind w:firstLine="443" w:firstLineChars="147"/>
        <w:jc w:val="center"/>
        <w:rPr>
          <w:rFonts w:hint="eastAsia" w:ascii="宋体" w:hAnsi="宋体"/>
          <w:b/>
          <w:color w:val="auto"/>
          <w:sz w:val="30"/>
          <w:szCs w:val="30"/>
          <w:highlight w:val="none"/>
          <w:lang w:val="en-US" w:eastAsia="zh-CN"/>
        </w:rPr>
      </w:pPr>
    </w:p>
    <w:p w14:paraId="5D37EAD1">
      <w:pPr>
        <w:spacing w:line="360" w:lineRule="exact"/>
        <w:ind w:firstLine="443" w:firstLineChars="147"/>
        <w:jc w:val="center"/>
        <w:rPr>
          <w:rFonts w:hint="eastAsia" w:ascii="宋体" w:hAnsi="宋体"/>
          <w:b/>
          <w:color w:val="auto"/>
          <w:sz w:val="30"/>
          <w:szCs w:val="30"/>
          <w:highlight w:val="none"/>
          <w:lang w:val="en-US" w:eastAsia="zh-CN"/>
        </w:rPr>
      </w:pPr>
    </w:p>
    <w:p w14:paraId="53A4E09A">
      <w:pPr>
        <w:spacing w:line="360" w:lineRule="exact"/>
        <w:ind w:firstLine="443" w:firstLineChars="147"/>
        <w:jc w:val="center"/>
        <w:rPr>
          <w:rFonts w:hint="eastAsia" w:ascii="宋体" w:hAnsi="宋体"/>
          <w:b/>
          <w:color w:val="auto"/>
          <w:sz w:val="30"/>
          <w:szCs w:val="30"/>
          <w:highlight w:val="none"/>
          <w:lang w:val="en-US" w:eastAsia="zh-CN"/>
        </w:rPr>
      </w:pPr>
    </w:p>
    <w:p w14:paraId="36AC630B">
      <w:pPr>
        <w:spacing w:line="360" w:lineRule="exact"/>
        <w:ind w:firstLine="443" w:firstLineChars="147"/>
        <w:jc w:val="center"/>
        <w:rPr>
          <w:rFonts w:hint="eastAsia" w:ascii="宋体" w:hAnsi="宋体"/>
          <w:b/>
          <w:color w:val="auto"/>
          <w:sz w:val="30"/>
          <w:szCs w:val="30"/>
          <w:highlight w:val="none"/>
          <w:lang w:val="en-US" w:eastAsia="zh-CN"/>
        </w:rPr>
      </w:pPr>
    </w:p>
    <w:p w14:paraId="79CC6730">
      <w:pPr>
        <w:spacing w:line="360" w:lineRule="exact"/>
        <w:ind w:firstLine="443" w:firstLineChars="147"/>
        <w:jc w:val="center"/>
        <w:rPr>
          <w:rFonts w:hint="eastAsia" w:ascii="宋体" w:hAnsi="宋体"/>
          <w:b/>
          <w:color w:val="auto"/>
          <w:sz w:val="30"/>
          <w:szCs w:val="30"/>
          <w:highlight w:val="none"/>
          <w:lang w:val="en-US" w:eastAsia="zh-CN"/>
        </w:rPr>
      </w:pPr>
    </w:p>
    <w:p w14:paraId="2A5E9613">
      <w:pPr>
        <w:spacing w:line="360" w:lineRule="exact"/>
        <w:ind w:firstLine="443" w:firstLineChars="147"/>
        <w:jc w:val="center"/>
        <w:rPr>
          <w:rFonts w:hint="eastAsia" w:ascii="宋体" w:hAnsi="宋体"/>
          <w:b/>
          <w:color w:val="auto"/>
          <w:sz w:val="30"/>
          <w:szCs w:val="30"/>
          <w:highlight w:val="none"/>
          <w:lang w:val="en-US" w:eastAsia="zh-CN"/>
        </w:rPr>
      </w:pPr>
    </w:p>
    <w:p w14:paraId="09615422">
      <w:pPr>
        <w:spacing w:line="360" w:lineRule="exact"/>
        <w:ind w:firstLine="443" w:firstLineChars="147"/>
        <w:jc w:val="center"/>
        <w:rPr>
          <w:rFonts w:hint="eastAsia" w:ascii="宋体" w:hAnsi="宋体"/>
          <w:b/>
          <w:color w:val="auto"/>
          <w:sz w:val="30"/>
          <w:szCs w:val="30"/>
          <w:highlight w:val="none"/>
          <w:lang w:val="en-US" w:eastAsia="zh-CN"/>
        </w:rPr>
      </w:pPr>
    </w:p>
    <w:p w14:paraId="6C4078DD">
      <w:pPr>
        <w:spacing w:line="360" w:lineRule="exact"/>
        <w:ind w:firstLine="443" w:firstLineChars="147"/>
        <w:jc w:val="center"/>
        <w:rPr>
          <w:rFonts w:hint="eastAsia" w:ascii="宋体" w:hAnsi="宋体"/>
          <w:b/>
          <w:color w:val="auto"/>
          <w:sz w:val="30"/>
          <w:szCs w:val="30"/>
          <w:highlight w:val="none"/>
          <w:lang w:val="en-US" w:eastAsia="zh-CN"/>
        </w:rPr>
      </w:pPr>
    </w:p>
    <w:p w14:paraId="6471182E">
      <w:pPr>
        <w:spacing w:line="360" w:lineRule="exact"/>
        <w:ind w:firstLine="443" w:firstLineChars="147"/>
        <w:jc w:val="center"/>
        <w:rPr>
          <w:rFonts w:hint="eastAsia" w:ascii="宋体" w:eastAsia="宋体"/>
          <w:b/>
          <w:color w:val="auto"/>
          <w:sz w:val="32"/>
          <w:szCs w:val="32"/>
          <w:highlight w:val="none"/>
          <w:lang w:eastAsia="zh-CN"/>
        </w:rPr>
      </w:pPr>
      <w:r>
        <w:rPr>
          <w:rFonts w:hint="eastAsia" w:ascii="宋体" w:hAnsi="宋体"/>
          <w:b/>
          <w:color w:val="auto"/>
          <w:sz w:val="30"/>
          <w:szCs w:val="30"/>
          <w:highlight w:val="none"/>
          <w:lang w:val="en-US" w:eastAsia="zh-CN"/>
        </w:rPr>
        <w:t xml:space="preserve"> </w:t>
      </w:r>
    </w:p>
    <w:p w14:paraId="16BD3D74">
      <w:pPr>
        <w:spacing w:line="360" w:lineRule="exact"/>
        <w:ind w:firstLine="531" w:firstLineChars="147"/>
        <w:jc w:val="center"/>
        <w:rPr>
          <w:rFonts w:hint="eastAsia" w:ascii="宋体"/>
          <w:b/>
          <w:color w:val="auto"/>
          <w:sz w:val="36"/>
          <w:szCs w:val="36"/>
          <w:highlight w:val="none"/>
        </w:rPr>
      </w:pPr>
      <w:r>
        <w:rPr>
          <w:rFonts w:hint="eastAsia" w:ascii="宋体" w:hAnsi="Times New Roman" w:eastAsia="宋体" w:cs="Times New Roman"/>
          <w:b/>
          <w:color w:val="auto"/>
          <w:sz w:val="36"/>
          <w:szCs w:val="36"/>
          <w:highlight w:val="none"/>
        </w:rPr>
        <w:t>（</w:t>
      </w:r>
      <w:r>
        <w:rPr>
          <w:rFonts w:hint="eastAsia" w:ascii="宋体" w:hAnsi="Times New Roman" w:eastAsia="宋体" w:cs="Times New Roman"/>
          <w:b/>
          <w:color w:val="auto"/>
          <w:sz w:val="36"/>
          <w:szCs w:val="36"/>
          <w:highlight w:val="none"/>
          <w:lang w:val="en-US" w:eastAsia="zh-CN"/>
        </w:rPr>
        <w:t>1</w:t>
      </w:r>
      <w:r>
        <w:rPr>
          <w:rFonts w:hint="eastAsia" w:ascii="宋体" w:hAnsi="Times New Roman" w:eastAsia="宋体" w:cs="Times New Roman"/>
          <w:b/>
          <w:color w:val="auto"/>
          <w:sz w:val="36"/>
          <w:szCs w:val="36"/>
          <w:highlight w:val="none"/>
        </w:rPr>
        <w:t>）开</w:t>
      </w:r>
      <w:r>
        <w:rPr>
          <w:rFonts w:hint="eastAsia" w:ascii="宋体"/>
          <w:b/>
          <w:color w:val="auto"/>
          <w:sz w:val="36"/>
          <w:szCs w:val="36"/>
          <w:highlight w:val="none"/>
        </w:rPr>
        <w:t>标一览表</w:t>
      </w:r>
    </w:p>
    <w:p w14:paraId="4A8FF519">
      <w:pPr>
        <w:snapToGrid w:val="0"/>
        <w:spacing w:line="460" w:lineRule="exact"/>
        <w:ind w:left="2940" w:leftChars="1400" w:firstLine="720" w:firstLineChars="300"/>
        <w:rPr>
          <w:rFonts w:hint="eastAsia" w:ascii="宋体"/>
          <w:color w:val="auto"/>
          <w:sz w:val="24"/>
          <w:highlight w:val="none"/>
        </w:rPr>
      </w:pPr>
    </w:p>
    <w:tbl>
      <w:tblPr>
        <w:tblStyle w:val="47"/>
        <w:tblW w:w="921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409"/>
      </w:tblGrid>
      <w:tr w14:paraId="3B587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43627737">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7409" w:type="dxa"/>
            <w:tcBorders>
              <w:top w:val="single" w:color="auto" w:sz="12" w:space="0"/>
              <w:left w:val="single" w:color="auto" w:sz="12" w:space="0"/>
              <w:bottom w:val="single" w:color="auto" w:sz="12" w:space="0"/>
            </w:tcBorders>
            <w:noWrap w:val="0"/>
            <w:vAlign w:val="center"/>
          </w:tcPr>
          <w:p w14:paraId="45CBBA2A">
            <w:pPr>
              <w:spacing w:line="360" w:lineRule="auto"/>
              <w:jc w:val="left"/>
              <w:rPr>
                <w:rFonts w:hint="eastAsia"/>
                <w:color w:val="auto"/>
                <w:sz w:val="24"/>
                <w:highlight w:val="none"/>
              </w:rPr>
            </w:pPr>
            <w:r>
              <w:rPr>
                <w:rFonts w:hint="eastAsia"/>
                <w:color w:val="auto"/>
                <w:sz w:val="24"/>
                <w:highlight w:val="none"/>
              </w:rPr>
              <w:t xml:space="preserve">         </w:t>
            </w:r>
          </w:p>
        </w:tc>
      </w:tr>
      <w:tr w14:paraId="695F3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3F8C9A12">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7409" w:type="dxa"/>
            <w:tcBorders>
              <w:top w:val="single" w:color="auto" w:sz="12" w:space="0"/>
              <w:left w:val="single" w:color="auto" w:sz="12" w:space="0"/>
            </w:tcBorders>
            <w:noWrap w:val="0"/>
            <w:vAlign w:val="center"/>
          </w:tcPr>
          <w:p w14:paraId="08B10929">
            <w:pPr>
              <w:jc w:val="center"/>
              <w:rPr>
                <w:rFonts w:hint="eastAsia" w:ascii="宋体" w:eastAsia="宋体"/>
                <w:color w:val="auto"/>
                <w:sz w:val="24"/>
                <w:highlight w:val="none"/>
                <w:lang w:val="en-US" w:eastAsia="zh-CN"/>
              </w:rPr>
            </w:pPr>
            <w:r>
              <w:rPr>
                <w:rFonts w:hint="eastAsia" w:ascii="宋体"/>
                <w:color w:val="auto"/>
                <w:sz w:val="24"/>
                <w:highlight w:val="none"/>
                <w:lang w:val="en-US" w:eastAsia="zh-CN"/>
              </w:rPr>
              <w:t>/</w:t>
            </w:r>
          </w:p>
        </w:tc>
      </w:tr>
      <w:tr w14:paraId="7A19D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5A91C5C5">
            <w:pPr>
              <w:spacing w:line="46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7409" w:type="dxa"/>
            <w:tcBorders>
              <w:left w:val="single" w:color="auto" w:sz="12" w:space="0"/>
            </w:tcBorders>
            <w:noWrap w:val="0"/>
            <w:vAlign w:val="top"/>
          </w:tcPr>
          <w:p w14:paraId="11231331">
            <w:pPr>
              <w:pStyle w:val="28"/>
              <w:spacing w:line="460" w:lineRule="exact"/>
              <w:ind w:left="86" w:leftChars="41"/>
              <w:rPr>
                <w:rFonts w:hint="eastAsia" w:ascii="宋体" w:eastAsia="宋体"/>
                <w:color w:val="auto"/>
                <w:sz w:val="24"/>
                <w:szCs w:val="24"/>
                <w:highlight w:val="none"/>
              </w:rPr>
            </w:pPr>
          </w:p>
        </w:tc>
      </w:tr>
      <w:tr w14:paraId="5ADE2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060E531F">
            <w:pPr>
              <w:spacing w:line="360" w:lineRule="auto"/>
              <w:jc w:val="center"/>
              <w:rPr>
                <w:rFonts w:ascii="宋体"/>
                <w:color w:val="auto"/>
                <w:sz w:val="24"/>
                <w:highlight w:val="none"/>
              </w:rPr>
            </w:pPr>
            <w:r>
              <w:rPr>
                <w:rFonts w:hint="eastAsia" w:ascii="宋体"/>
                <w:color w:val="auto"/>
                <w:sz w:val="24"/>
                <w:highlight w:val="none"/>
              </w:rPr>
              <w:t>投标</w:t>
            </w:r>
            <w:r>
              <w:rPr>
                <w:rFonts w:hint="eastAsia" w:ascii="宋体"/>
                <w:color w:val="auto"/>
                <w:sz w:val="24"/>
                <w:highlight w:val="none"/>
                <w:lang w:val="en-US" w:eastAsia="zh-CN"/>
              </w:rPr>
              <w:t>报价</w:t>
            </w:r>
            <w:r>
              <w:rPr>
                <w:rFonts w:hint="eastAsia" w:ascii="宋体"/>
                <w:color w:val="auto"/>
                <w:sz w:val="24"/>
                <w:highlight w:val="none"/>
              </w:rPr>
              <w:t>\</w:t>
            </w:r>
            <w:r>
              <w:rPr>
                <w:rFonts w:hint="eastAsia" w:ascii="宋体"/>
                <w:color w:val="auto"/>
                <w:sz w:val="24"/>
                <w:highlight w:val="none"/>
                <w:lang w:val="en-US" w:eastAsia="zh-CN"/>
              </w:rPr>
              <w:t>工</w:t>
            </w:r>
            <w:r>
              <w:rPr>
                <w:rFonts w:hint="eastAsia" w:ascii="宋体"/>
                <w:color w:val="auto"/>
                <w:sz w:val="24"/>
                <w:highlight w:val="none"/>
              </w:rPr>
              <w:t>期</w:t>
            </w:r>
          </w:p>
        </w:tc>
        <w:tc>
          <w:tcPr>
            <w:tcW w:w="7409" w:type="dxa"/>
            <w:tcBorders>
              <w:left w:val="single" w:color="auto" w:sz="12" w:space="0"/>
            </w:tcBorders>
            <w:noWrap w:val="0"/>
            <w:vAlign w:val="center"/>
          </w:tcPr>
          <w:p w14:paraId="5EE068F0">
            <w:pPr>
              <w:spacing w:line="600" w:lineRule="exact"/>
              <w:ind w:firstLine="1200" w:firstLineChars="5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val="en-US" w:eastAsia="zh-CN"/>
              </w:rPr>
              <w:t xml:space="preserve">        </w:t>
            </w:r>
          </w:p>
          <w:p w14:paraId="3C2E84EB">
            <w:pPr>
              <w:spacing w:line="360" w:lineRule="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投标</w:t>
            </w:r>
            <w:r>
              <w:rPr>
                <w:rFonts w:hint="eastAsia" w:ascii="宋体" w:hAnsi="宋体" w:cs="宋体"/>
                <w:color w:val="auto"/>
                <w:sz w:val="24"/>
                <w:highlight w:val="none"/>
                <w:u w:val="none"/>
                <w:lang w:val="en-US" w:eastAsia="zh-CN"/>
              </w:rPr>
              <w:t>总价：</w:t>
            </w:r>
            <w:r>
              <w:rPr>
                <w:rFonts w:hint="eastAsia" w:ascii="宋体" w:hAnsi="宋体" w:eastAsia="宋体" w:cs="宋体"/>
                <w:color w:val="auto"/>
                <w:sz w:val="24"/>
                <w:highlight w:val="none"/>
                <w:u w:val="none"/>
                <w:lang w:val="en-US" w:eastAsia="zh-CN"/>
              </w:rPr>
              <w:t>大写：</w:t>
            </w:r>
            <w:r>
              <w:rPr>
                <w:rFonts w:hint="eastAsia" w:ascii="宋体" w:hAnsi="宋体" w:cs="宋体"/>
                <w:color w:val="auto"/>
                <w:sz w:val="24"/>
                <w:highlight w:val="none"/>
                <w:u w:val="none"/>
                <w:lang w:val="en-US" w:eastAsia="zh-CN"/>
              </w:rPr>
              <w:t xml:space="preserve">    </w:t>
            </w:r>
          </w:p>
          <w:p w14:paraId="3F57BC50">
            <w:pPr>
              <w:spacing w:line="360" w:lineRule="auto"/>
              <w:ind w:firstLine="1200" w:firstLineChars="5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小写</w:t>
            </w:r>
            <w:r>
              <w:rPr>
                <w:rFonts w:hint="eastAsia" w:ascii="宋体" w:hAnsi="宋体" w:cs="宋体"/>
                <w:color w:val="auto"/>
                <w:sz w:val="24"/>
                <w:highlight w:val="none"/>
                <w:u w:val="none"/>
                <w:lang w:val="en-US" w:eastAsia="zh-CN"/>
              </w:rPr>
              <w:t>：</w:t>
            </w:r>
          </w:p>
          <w:p w14:paraId="542B047D">
            <w:pPr>
              <w:spacing w:line="360" w:lineRule="auto"/>
              <w:rPr>
                <w:rFonts w:hint="eastAsia" w:ascii="宋体"/>
                <w:color w:val="auto"/>
                <w:sz w:val="24"/>
                <w:highlight w:val="none"/>
              </w:rPr>
            </w:pPr>
          </w:p>
          <w:p w14:paraId="42DDAC14">
            <w:pPr>
              <w:spacing w:line="360" w:lineRule="auto"/>
              <w:rPr>
                <w:rFonts w:hint="default" w:ascii="宋体" w:eastAsia="宋体"/>
                <w:color w:val="auto"/>
                <w:sz w:val="24"/>
                <w:highlight w:val="none"/>
                <w:lang w:val="en-US" w:eastAsia="zh-CN"/>
              </w:rPr>
            </w:pPr>
            <w:r>
              <w:rPr>
                <w:rFonts w:hint="eastAsia" w:ascii="宋体"/>
                <w:color w:val="auto"/>
                <w:sz w:val="24"/>
                <w:highlight w:val="none"/>
                <w:lang w:val="en-US" w:eastAsia="zh-CN"/>
              </w:rPr>
              <w:t>工</w:t>
            </w:r>
            <w:r>
              <w:rPr>
                <w:rFonts w:hint="eastAsia" w:ascii="宋体"/>
                <w:color w:val="auto"/>
                <w:sz w:val="24"/>
                <w:highlight w:val="none"/>
              </w:rPr>
              <w:t>期：</w:t>
            </w:r>
            <w:r>
              <w:rPr>
                <w:rFonts w:hint="eastAsia" w:ascii="宋体"/>
                <w:color w:val="auto"/>
                <w:sz w:val="24"/>
                <w:highlight w:val="none"/>
                <w:lang w:val="en-US" w:eastAsia="zh-CN"/>
              </w:rPr>
              <w:t xml:space="preserve"> </w:t>
            </w:r>
          </w:p>
          <w:p w14:paraId="42268F66">
            <w:pPr>
              <w:spacing w:line="360" w:lineRule="auto"/>
              <w:rPr>
                <w:rFonts w:hint="eastAsia"/>
                <w:color w:val="auto"/>
                <w:sz w:val="24"/>
                <w:highlight w:val="none"/>
              </w:rPr>
            </w:pPr>
          </w:p>
        </w:tc>
      </w:tr>
    </w:tbl>
    <w:p w14:paraId="38086996">
      <w:pPr>
        <w:snapToGrid w:val="0"/>
        <w:spacing w:line="460" w:lineRule="exact"/>
        <w:ind w:left="2940" w:leftChars="1400" w:firstLine="723" w:firstLineChars="300"/>
        <w:rPr>
          <w:rFonts w:hint="eastAsia" w:ascii="宋体"/>
          <w:b/>
          <w:color w:val="auto"/>
          <w:sz w:val="24"/>
          <w:highlight w:val="none"/>
        </w:rPr>
      </w:pPr>
    </w:p>
    <w:p w14:paraId="5906C4B4">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签字或盖章</w:t>
      </w:r>
      <w:r>
        <w:rPr>
          <w:rFonts w:hint="eastAsia" w:ascii="宋体"/>
          <w:color w:val="auto"/>
          <w:sz w:val="24"/>
          <w:highlight w:val="none"/>
        </w:rPr>
        <w:t>）：         投标人（</w:t>
      </w:r>
      <w:r>
        <w:rPr>
          <w:rFonts w:hint="eastAsia" w:ascii="宋体"/>
          <w:color w:val="auto"/>
          <w:sz w:val="24"/>
          <w:highlight w:val="none"/>
          <w:lang w:val="en-US" w:eastAsia="zh-CN"/>
        </w:rPr>
        <w:t>盖章</w:t>
      </w:r>
      <w:r>
        <w:rPr>
          <w:rFonts w:hint="eastAsia" w:ascii="宋体"/>
          <w:color w:val="auto"/>
          <w:sz w:val="24"/>
          <w:highlight w:val="none"/>
        </w:rPr>
        <w:t>）：</w:t>
      </w:r>
    </w:p>
    <w:p w14:paraId="1C85766A">
      <w:pPr>
        <w:snapToGrid w:val="0"/>
        <w:spacing w:before="312" w:beforeLines="100" w:after="312" w:afterLines="100" w:line="360" w:lineRule="auto"/>
        <w:jc w:val="center"/>
        <w:rPr>
          <w:rFonts w:cs="Arial"/>
          <w:b/>
          <w:bCs/>
          <w:color w:val="auto"/>
          <w:sz w:val="30"/>
          <w:szCs w:val="30"/>
          <w:highlight w:val="none"/>
        </w:rPr>
        <w:sectPr>
          <w:footerReference r:id="rId9" w:type="default"/>
          <w:pgSz w:w="11906" w:h="16838"/>
          <w:pgMar w:top="1440" w:right="1800" w:bottom="1440" w:left="1417" w:header="851" w:footer="992" w:gutter="0"/>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50CABD87">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2</w:t>
      </w:r>
      <w:r>
        <w:rPr>
          <w:rFonts w:hint="eastAsia" w:ascii="宋体" w:hAnsi="宋体" w:cs="宋体"/>
          <w:b/>
          <w:bCs/>
          <w:color w:val="auto"/>
          <w:sz w:val="28"/>
          <w:szCs w:val="28"/>
          <w:highlight w:val="none"/>
        </w:rPr>
        <w:t>）投 标 函</w:t>
      </w:r>
    </w:p>
    <w:p w14:paraId="1ECEC7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p>
    <w:p w14:paraId="4F56A98B">
      <w:pPr>
        <w:keepNext w:val="0"/>
        <w:keepLines w:val="0"/>
        <w:pageBreakBefore w:val="0"/>
        <w:widowControl w:val="0"/>
        <w:kinsoku/>
        <w:wordWrap/>
        <w:overflowPunct/>
        <w:topLinePunct w:val="0"/>
        <w:autoSpaceDE/>
        <w:autoSpaceDN/>
        <w:bidi w:val="0"/>
        <w:adjustRightInd/>
        <w:snapToGrid/>
        <w:spacing w:line="440" w:lineRule="exact"/>
        <w:ind w:leftChars="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根据你方招标项目的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项目招标文件，遵照《中华人民共和国招标投标法》、等有关规定，经研究上述招标文件的投标须知、</w:t>
      </w:r>
      <w:r>
        <w:rPr>
          <w:rFonts w:hint="eastAsia" w:ascii="宋体" w:hAnsi="宋体" w:cs="宋体"/>
          <w:color w:val="auto"/>
          <w:szCs w:val="21"/>
          <w:highlight w:val="none"/>
          <w:lang w:val="en-US" w:eastAsia="zh-CN"/>
        </w:rPr>
        <w:t>招标</w:t>
      </w:r>
      <w:r>
        <w:rPr>
          <w:rFonts w:hint="eastAsia" w:ascii="宋体" w:hAnsi="宋体" w:eastAsia="宋体" w:cs="宋体"/>
          <w:color w:val="auto"/>
          <w:szCs w:val="21"/>
          <w:highlight w:val="none"/>
        </w:rPr>
        <w:t>要求及规范和其他有关文件后，</w:t>
      </w:r>
      <w:r>
        <w:rPr>
          <w:rFonts w:hint="eastAsia" w:ascii="宋体" w:hAnsi="宋体" w:eastAsia="宋体" w:cs="宋体"/>
          <w:b/>
          <w:bCs/>
          <w:color w:val="auto"/>
          <w:szCs w:val="21"/>
          <w:highlight w:val="none"/>
        </w:rPr>
        <w:t>我方愿以</w:t>
      </w:r>
      <w:r>
        <w:rPr>
          <w:rFonts w:hint="eastAsia" w:ascii="宋体" w:hAnsi="宋体" w:cs="宋体"/>
          <w:b/>
          <w:bCs/>
          <w:color w:val="auto"/>
          <w:szCs w:val="21"/>
          <w:highlight w:val="none"/>
          <w:lang w:val="en-US" w:eastAsia="zh-CN"/>
        </w:rPr>
        <w:t>人民币：</w:t>
      </w:r>
      <w:r>
        <w:rPr>
          <w:rFonts w:hint="eastAsia" w:ascii="宋体" w:hAnsi="宋体" w:cs="宋体"/>
          <w:b/>
          <w:bCs/>
          <w:color w:val="auto"/>
          <w:szCs w:val="21"/>
          <w:highlight w:val="none"/>
          <w:u w:val="single"/>
          <w:lang w:val="en-US" w:eastAsia="zh-CN"/>
        </w:rPr>
        <w:t xml:space="preserve"> 投标总价        元</w:t>
      </w:r>
      <w:r>
        <w:rPr>
          <w:rFonts w:hint="eastAsia" w:ascii="宋体" w:hAnsi="宋体" w:eastAsia="宋体" w:cs="宋体"/>
          <w:color w:val="auto"/>
          <w:szCs w:val="21"/>
          <w:highlight w:val="none"/>
          <w:lang w:val="en-US" w:eastAsia="zh-CN"/>
        </w:rPr>
        <w:t>承担本项目所有工作</w:t>
      </w:r>
      <w:r>
        <w:rPr>
          <w:rFonts w:hint="eastAsia" w:ascii="宋体" w:hAnsi="宋体" w:eastAsia="宋体" w:cs="宋体"/>
          <w:color w:val="auto"/>
          <w:szCs w:val="21"/>
          <w:highlight w:val="none"/>
        </w:rPr>
        <w:t>并按上述要求对合同的完成承担全部责任和义务。如我单位中标，我单位将完成本项目的</w:t>
      </w:r>
      <w:r>
        <w:rPr>
          <w:rFonts w:hint="eastAsia" w:ascii="宋体" w:hAnsi="宋体" w:cs="宋体"/>
          <w:color w:val="auto"/>
          <w:szCs w:val="21"/>
          <w:highlight w:val="none"/>
          <w:lang w:val="en-US" w:eastAsia="zh-CN"/>
        </w:rPr>
        <w:t>工作</w:t>
      </w:r>
      <w:r>
        <w:rPr>
          <w:rFonts w:hint="eastAsia" w:ascii="宋体" w:hAnsi="宋体" w:eastAsia="宋体" w:cs="宋体"/>
          <w:color w:val="auto"/>
          <w:szCs w:val="21"/>
          <w:highlight w:val="none"/>
        </w:rPr>
        <w:t>和相关服务，质量标准符合招标文件要求。</w:t>
      </w:r>
    </w:p>
    <w:p w14:paraId="4958F80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4" w:firstLineChars="200"/>
        <w:jc w:val="left"/>
        <w:textAlignment w:val="auto"/>
        <w:outlineLvl w:val="9"/>
        <w:rPr>
          <w:rFonts w:hint="eastAsia" w:ascii="宋体" w:hAnsi="宋体" w:eastAsia="宋体" w:cs="宋体"/>
          <w:color w:val="auto"/>
          <w:spacing w:val="-4"/>
          <w:szCs w:val="21"/>
          <w:highlight w:val="none"/>
        </w:rPr>
      </w:pPr>
      <w:r>
        <w:rPr>
          <w:rFonts w:hint="eastAsia" w:ascii="宋体" w:hAnsi="宋体" w:cs="宋体"/>
          <w:color w:val="auto"/>
          <w:spacing w:val="-4"/>
          <w:szCs w:val="21"/>
          <w:highlight w:val="none"/>
          <w:lang w:val="en-US" w:eastAsia="zh-CN"/>
        </w:rPr>
        <w:t>2</w:t>
      </w:r>
      <w:r>
        <w:rPr>
          <w:rFonts w:hint="eastAsia" w:ascii="宋体" w:hAnsi="宋体" w:eastAsia="宋体" w:cs="宋体"/>
          <w:color w:val="auto"/>
          <w:spacing w:val="-4"/>
          <w:szCs w:val="21"/>
          <w:highlight w:val="none"/>
        </w:rPr>
        <w:t>、我方已详细审核全部招标文件及有关附件，承诺招标文件及有关附件中所有条款。</w:t>
      </w:r>
    </w:p>
    <w:p w14:paraId="637F54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、我方拟派本项目的项目负责人为：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58C8E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日历天（从投标截止之日算起）</w:t>
      </w:r>
      <w:r>
        <w:rPr>
          <w:rFonts w:hint="eastAsia" w:ascii="宋体" w:hAnsi="宋体" w:eastAsia="宋体" w:cs="宋体"/>
          <w:color w:val="auto"/>
          <w:sz w:val="21"/>
          <w:szCs w:val="21"/>
          <w:highlight w:val="none"/>
          <w:lang w:eastAsia="zh-CN"/>
        </w:rPr>
        <w:t>。</w:t>
      </w:r>
    </w:p>
    <w:p w14:paraId="74D1CF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、我单位承诺在接到贵单位通知后在当日内至现场解决相关问题。</w:t>
      </w:r>
    </w:p>
    <w:p w14:paraId="694C26F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如果我方在本投标书有效期内撤回投标书，或在中标通知书下达后</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天内未能或拒绝签订合同书，或自行转标，贵单位有权另选中标单位。</w:t>
      </w:r>
    </w:p>
    <w:p w14:paraId="4B4C47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电子邮箱（地址），确认本项目相关法律文书均通过提供的以上地址送达，相关文书只要发送至以上电子邮箱（地址）即视为送达，投标人愿意承担一切法律后果。</w:t>
      </w:r>
    </w:p>
    <w:p w14:paraId="14060370">
      <w:pPr>
        <w:keepNext w:val="0"/>
        <w:keepLines w:val="0"/>
        <w:pageBreakBefore w:val="0"/>
        <w:widowControl w:val="0"/>
        <w:kinsoku/>
        <w:wordWrap/>
        <w:overflowPunct/>
        <w:topLinePunct w:val="0"/>
        <w:autoSpaceDE/>
        <w:autoSpaceDN/>
        <w:bidi w:val="0"/>
        <w:adjustRightInd/>
        <w:snapToGrid/>
        <w:spacing w:line="400" w:lineRule="exact"/>
        <w:ind w:firstLine="1995" w:firstLineChars="950"/>
        <w:textAlignment w:val="auto"/>
        <w:rPr>
          <w:rFonts w:hint="eastAsia"/>
          <w:color w:val="auto"/>
          <w:szCs w:val="21"/>
          <w:highlight w:val="none"/>
        </w:rPr>
      </w:pPr>
    </w:p>
    <w:p w14:paraId="1BC03583">
      <w:pPr>
        <w:keepNext w:val="0"/>
        <w:keepLines w:val="0"/>
        <w:pageBreakBefore w:val="0"/>
        <w:widowControl w:val="0"/>
        <w:kinsoku/>
        <w:wordWrap/>
        <w:overflowPunct/>
        <w:topLinePunct w:val="0"/>
        <w:autoSpaceDE/>
        <w:autoSpaceDN/>
        <w:bidi w:val="0"/>
        <w:adjustRightInd/>
        <w:snapToGrid/>
        <w:spacing w:line="400" w:lineRule="exact"/>
        <w:ind w:firstLine="1995" w:firstLineChars="950"/>
        <w:textAlignment w:val="auto"/>
        <w:rPr>
          <w:color w:val="auto"/>
          <w:szCs w:val="21"/>
          <w:highlight w:val="none"/>
          <w:u w:val="singl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u w:val="single"/>
          <w:lang w:val="en-US" w:eastAsia="zh-CN"/>
        </w:rPr>
        <w:t>盖章</w:t>
      </w:r>
      <w:r>
        <w:rPr>
          <w:rFonts w:hint="eastAsia"/>
          <w:color w:val="auto"/>
          <w:szCs w:val="21"/>
          <w:highlight w:val="none"/>
          <w:u w:val="single"/>
        </w:rPr>
        <w:t>）</w:t>
      </w:r>
      <w:r>
        <w:rPr>
          <w:color w:val="auto"/>
          <w:szCs w:val="21"/>
          <w:highlight w:val="none"/>
          <w:u w:val="single"/>
        </w:rPr>
        <w:t xml:space="preserve"> </w:t>
      </w:r>
    </w:p>
    <w:p w14:paraId="0AC673DA">
      <w:pPr>
        <w:keepNext w:val="0"/>
        <w:keepLines w:val="0"/>
        <w:pageBreakBefore w:val="0"/>
        <w:widowControl w:val="0"/>
        <w:kinsoku/>
        <w:wordWrap/>
        <w:overflowPunct/>
        <w:topLinePunct w:val="0"/>
        <w:autoSpaceDE/>
        <w:autoSpaceDN/>
        <w:bidi w:val="0"/>
        <w:adjustRightInd/>
        <w:snapToGrid/>
        <w:spacing w:line="400" w:lineRule="exact"/>
        <w:ind w:left="1995" w:leftChars="950"/>
        <w:textAlignment w:val="auto"/>
        <w:rPr>
          <w:rFonts w:hint="eastAsia"/>
          <w:color w:val="auto"/>
          <w:szCs w:val="21"/>
          <w:highlight w:val="none"/>
        </w:rPr>
      </w:pPr>
      <w:r>
        <w:rPr>
          <w:rFonts w:hint="eastAsia"/>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（签字或签章）</w:t>
      </w:r>
      <w:r>
        <w:rPr>
          <w:rFonts w:hint="eastAsia"/>
          <w:color w:val="auto"/>
          <w:szCs w:val="21"/>
          <w:highlight w:val="none"/>
        </w:rPr>
        <w:t xml:space="preserve">         </w:t>
      </w:r>
    </w:p>
    <w:p w14:paraId="199588A2">
      <w:pPr>
        <w:keepNext w:val="0"/>
        <w:keepLines w:val="0"/>
        <w:pageBreakBefore w:val="0"/>
        <w:widowControl w:val="0"/>
        <w:kinsoku/>
        <w:wordWrap/>
        <w:overflowPunct/>
        <w:topLinePunct w:val="0"/>
        <w:autoSpaceDE/>
        <w:autoSpaceDN/>
        <w:bidi w:val="0"/>
        <w:adjustRightInd/>
        <w:snapToGrid/>
        <w:spacing w:line="400" w:lineRule="exact"/>
        <w:ind w:left="1995" w:leftChars="950"/>
        <w:textAlignment w:val="auto"/>
        <w:rPr>
          <w:color w:val="auto"/>
          <w:szCs w:val="21"/>
          <w:highlight w:val="none"/>
          <w:u w:val="single"/>
        </w:rPr>
      </w:pPr>
      <w:r>
        <w:rPr>
          <w:rFonts w:hint="eastAsia"/>
          <w:color w:val="auto"/>
          <w:szCs w:val="21"/>
          <w:highlight w:val="none"/>
        </w:rPr>
        <w:t>单位地址：</w:t>
      </w:r>
      <w:r>
        <w:rPr>
          <w:rFonts w:hint="eastAsia"/>
          <w:color w:val="auto"/>
          <w:szCs w:val="21"/>
          <w:highlight w:val="none"/>
          <w:u w:val="single"/>
        </w:rPr>
        <w:t xml:space="preserve">                   </w:t>
      </w:r>
    </w:p>
    <w:p w14:paraId="59D03916">
      <w:pPr>
        <w:keepNext w:val="0"/>
        <w:keepLines w:val="0"/>
        <w:pageBreakBefore w:val="0"/>
        <w:widowControl w:val="0"/>
        <w:kinsoku/>
        <w:wordWrap/>
        <w:overflowPunct/>
        <w:topLinePunct w:val="0"/>
        <w:autoSpaceDE/>
        <w:autoSpaceDN/>
        <w:bidi w:val="0"/>
        <w:adjustRightInd/>
        <w:snapToGrid/>
        <w:spacing w:line="400" w:lineRule="exact"/>
        <w:ind w:left="1995" w:leftChars="950"/>
        <w:textAlignment w:val="auto"/>
        <w:rPr>
          <w:color w:val="auto"/>
          <w:szCs w:val="21"/>
          <w:highlight w:val="none"/>
          <w:u w:val="single"/>
        </w:rPr>
      </w:pPr>
      <w:r>
        <w:rPr>
          <w:rFonts w:hint="eastAsia"/>
          <w:color w:val="auto"/>
          <w:szCs w:val="21"/>
          <w:highlight w:val="none"/>
        </w:rPr>
        <w:t>电话</w:t>
      </w:r>
      <w:r>
        <w:rPr>
          <w:rFonts w:hint="eastAsia"/>
          <w:color w:val="auto"/>
          <w:szCs w:val="21"/>
          <w:highlight w:val="none"/>
          <w:lang w:eastAsia="zh-CN"/>
        </w:rPr>
        <w:t>：</w:t>
      </w:r>
      <w:r>
        <w:rPr>
          <w:rFonts w:hint="eastAsia"/>
          <w:color w:val="auto"/>
          <w:szCs w:val="21"/>
          <w:highlight w:val="none"/>
          <w:u w:val="single"/>
        </w:rPr>
        <w:t xml:space="preserve">                   </w:t>
      </w:r>
    </w:p>
    <w:p w14:paraId="672CA2A2">
      <w:pPr>
        <w:keepNext w:val="0"/>
        <w:keepLines w:val="0"/>
        <w:pageBreakBefore w:val="0"/>
        <w:widowControl w:val="0"/>
        <w:kinsoku/>
        <w:wordWrap/>
        <w:overflowPunct/>
        <w:topLinePunct w:val="0"/>
        <w:autoSpaceDE/>
        <w:autoSpaceDN/>
        <w:bidi w:val="0"/>
        <w:adjustRightInd/>
        <w:snapToGrid/>
        <w:spacing w:line="400" w:lineRule="exact"/>
        <w:ind w:left="1995" w:leftChars="950"/>
        <w:textAlignment w:val="auto"/>
        <w:rPr>
          <w:color w:val="auto"/>
          <w:szCs w:val="21"/>
          <w:highlight w:val="none"/>
          <w:u w:val="single"/>
        </w:rPr>
      </w:pPr>
      <w:r>
        <w:rPr>
          <w:rFonts w:hint="eastAsia"/>
          <w:color w:val="auto"/>
          <w:szCs w:val="21"/>
          <w:highlight w:val="none"/>
        </w:rPr>
        <w:t>传真：</w:t>
      </w:r>
      <w:r>
        <w:rPr>
          <w:rFonts w:hint="eastAsia"/>
          <w:color w:val="auto"/>
          <w:szCs w:val="21"/>
          <w:highlight w:val="none"/>
          <w:u w:val="single"/>
        </w:rPr>
        <w:t xml:space="preserve">                   </w:t>
      </w:r>
    </w:p>
    <w:p w14:paraId="598157E4">
      <w:pPr>
        <w:keepNext w:val="0"/>
        <w:keepLines w:val="0"/>
        <w:pageBreakBefore w:val="0"/>
        <w:widowControl w:val="0"/>
        <w:kinsoku/>
        <w:wordWrap/>
        <w:overflowPunct/>
        <w:topLinePunct w:val="0"/>
        <w:autoSpaceDE/>
        <w:autoSpaceDN/>
        <w:bidi w:val="0"/>
        <w:adjustRightInd/>
        <w:snapToGrid/>
        <w:spacing w:line="400" w:lineRule="exact"/>
        <w:ind w:left="1995" w:leftChars="950"/>
        <w:textAlignment w:val="auto"/>
        <w:rPr>
          <w:rFonts w:hint="eastAsia"/>
          <w:color w:val="auto"/>
          <w:highlight w:val="none"/>
        </w:rPr>
      </w:pPr>
      <w:r>
        <w:rPr>
          <w:rFonts w:hint="eastAsia"/>
          <w:color w:val="auto"/>
          <w:szCs w:val="21"/>
          <w:highlight w:val="none"/>
        </w:rPr>
        <w:t>日期：</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年</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月</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日</w:t>
      </w:r>
    </w:p>
    <w:p w14:paraId="75AFD404">
      <w:pPr>
        <w:rPr>
          <w:rFonts w:ascii="仿宋" w:hAnsi="仿宋" w:eastAsia="仿宋" w:cs="仿宋"/>
          <w:b/>
          <w:bCs/>
          <w:color w:val="auto"/>
          <w:kern w:val="0"/>
          <w:sz w:val="30"/>
          <w:szCs w:val="30"/>
          <w:highlight w:val="none"/>
        </w:rPr>
        <w:sectPr>
          <w:footerReference r:id="rId10" w:type="default"/>
          <w:pgSz w:w="11906" w:h="16838"/>
          <w:pgMar w:top="935" w:right="1106" w:bottom="936" w:left="1259" w:header="680" w:footer="680" w:gutter="0"/>
          <w:pgNumType w:fmt="decimal"/>
          <w:cols w:space="0" w:num="1"/>
          <w:docGrid w:type="lines" w:linePitch="318" w:charSpace="0"/>
        </w:sectPr>
      </w:pPr>
    </w:p>
    <w:p w14:paraId="10513559">
      <w:pPr>
        <w:jc w:val="center"/>
        <w:rPr>
          <w:rFonts w:hint="default" w:ascii="宋体" w:hAnsi="宋体" w:eastAsia="宋体" w:cs="宋体"/>
          <w:b/>
          <w:bCs/>
          <w:color w:val="auto"/>
          <w:sz w:val="28"/>
          <w:szCs w:val="28"/>
          <w:highlight w:val="none"/>
          <w:lang w:val="en-US" w:eastAsia="zh-CN"/>
        </w:rPr>
      </w:pPr>
      <w:bookmarkStart w:id="26" w:name="_Toc95223548"/>
      <w:bookmarkStart w:id="27" w:name="_Toc23863"/>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分项报价表</w:t>
      </w:r>
    </w:p>
    <w:p w14:paraId="6DDB2256">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滁州亭城玺悦里营销中心沙盘、品牌墙清单控制价</w:t>
      </w:r>
    </w:p>
    <w:tbl>
      <w:tblPr>
        <w:tblStyle w:val="47"/>
        <w:tblW w:w="13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7"/>
        <w:gridCol w:w="5500"/>
        <w:gridCol w:w="1262"/>
        <w:gridCol w:w="1463"/>
        <w:gridCol w:w="571"/>
        <w:gridCol w:w="1104"/>
        <w:gridCol w:w="984"/>
        <w:gridCol w:w="984"/>
      </w:tblGrid>
      <w:tr w14:paraId="6821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blHeader/>
          <w:jc w:val="center"/>
        </w:trPr>
        <w:tc>
          <w:tcPr>
            <w:tcW w:w="7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F671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详细要求</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A03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793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28E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270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单价最高限价（元）</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37C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投标综合单价</w:t>
            </w:r>
            <w:r>
              <w:rPr>
                <w:rFonts w:hint="eastAsia" w:ascii="宋体" w:hAnsi="宋体" w:eastAsia="宋体" w:cs="宋体"/>
                <w:i w:val="0"/>
                <w:iCs w:val="0"/>
                <w:color w:val="000000"/>
                <w:kern w:val="0"/>
                <w:sz w:val="21"/>
                <w:szCs w:val="21"/>
                <w:u w:val="none"/>
                <w:lang w:val="en-US" w:eastAsia="zh-CN" w:bidi="ar"/>
              </w:rPr>
              <w:t>（元）</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645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合计（元）</w:t>
            </w:r>
          </w:p>
        </w:tc>
      </w:tr>
      <w:tr w14:paraId="5BE8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blHeader/>
          <w:jc w:val="center"/>
        </w:trPr>
        <w:tc>
          <w:tcPr>
            <w:tcW w:w="7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4F9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主沙盘模型</w:t>
            </w:r>
          </w:p>
        </w:tc>
        <w:tc>
          <w:tcPr>
            <w:tcW w:w="538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8A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各项明细</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4A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6E6A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578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w:t>
            </w:r>
          </w:p>
          <w:p w14:paraId="2AC64A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目</w:t>
            </w:r>
          </w:p>
          <w:p w14:paraId="1A2590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沙</w:t>
            </w:r>
          </w:p>
          <w:p w14:paraId="7AC94B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盘</w:t>
            </w:r>
          </w:p>
          <w:p w14:paraId="2DD518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材</w:t>
            </w:r>
          </w:p>
          <w:p w14:paraId="0E1362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FB0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建筑部分</w:t>
            </w:r>
          </w:p>
          <w:p w14:paraId="26A9FF6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建筑骨架：采用复合ABS高分子聚碳板，材质坚韧，不变形，能有效提高建筑单体外型的挺直度。</w:t>
            </w:r>
          </w:p>
          <w:p w14:paraId="731F11C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门窗玻璃：采用镀膜玻璃，通透感强，色泽高档，泛光均匀</w:t>
            </w:r>
          </w:p>
          <w:p w14:paraId="7AF2E6E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灯光：采用led光源，层板叠加编程灯光自然白LED光源（拖尾灯光），内部隔墙板布银工艺、地板采用木色地板制作，吊顶灯光使建筑光源更加饱满柔和视觉感更优。</w:t>
            </w:r>
          </w:p>
          <w:p w14:paraId="20F8BC3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建筑立面颜色：采用汽车专用金属面漆，硬度高，不褪色还原度高，增强建筑细致部分金属质感。</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9D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0E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2.14m*3.7m</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29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DF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8268</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458E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 xml:space="preserve">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96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b/>
                <w:bCs/>
                <w:i w:val="0"/>
                <w:iCs w:val="0"/>
                <w:color w:val="000000"/>
                <w:sz w:val="21"/>
                <w:szCs w:val="21"/>
                <w:u w:val="none"/>
                <w:lang w:val="en-US" w:eastAsia="zh-CN"/>
              </w:rPr>
            </w:pPr>
          </w:p>
        </w:tc>
      </w:tr>
      <w:tr w14:paraId="3805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2324A">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000000"/>
                <w:sz w:val="21"/>
                <w:szCs w:val="21"/>
                <w:u w:val="none"/>
              </w:rPr>
            </w:pP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BEC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景观部分</w:t>
            </w:r>
          </w:p>
          <w:p w14:paraId="7B6B6C9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铺装地面：智能UV打印技术，还原铺装立体感及品质感，丰富多彩，逼真。</w:t>
            </w:r>
          </w:p>
          <w:p w14:paraId="2953F57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草地：仿马皮，质感好，烘托沙盘调性。</w:t>
            </w:r>
          </w:p>
          <w:p w14:paraId="6269D72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树木绿化：手工铁丝树+蚕丝，新型蚕丝树，树形优美、树叶饱满保证整体的模型的调性、艺术素雅的格调。</w:t>
            </w:r>
          </w:p>
          <w:p w14:paraId="0DAD212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马路：不锈钢材质，通过车道线、斑马线的灯光烘托项目整体的高端调性。</w:t>
            </w:r>
          </w:p>
          <w:p w14:paraId="4205DFC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外围空地：仿真草皮/镜面、金属制作，并制作发光LOGO，呈现高档、整洁的效果，重点烘托本案，提升沙盘的城市品质感。</w:t>
            </w:r>
          </w:p>
          <w:p w14:paraId="07E37332">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水系：采用最新工艺，倒梯式叠水，水面喷滴胶水，整体效果水面逼真，有层次。</w:t>
            </w:r>
          </w:p>
          <w:p w14:paraId="02CAA1E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沙盘整体包边采用金属材质处理，简洁大方，项目及区位分离式展示。</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AE71">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1"/>
                <w:szCs w:val="21"/>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A02B">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1"/>
                <w:szCs w:val="21"/>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9254">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1"/>
                <w:szCs w:val="21"/>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81C7">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1"/>
                <w:szCs w:val="21"/>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7F7C">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C1FC">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1"/>
                <w:szCs w:val="21"/>
                <w:u w:val="none"/>
              </w:rPr>
            </w:pPr>
          </w:p>
        </w:tc>
      </w:tr>
      <w:tr w14:paraId="4903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E7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真水雾森系统</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A7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0A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6455">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1"/>
                <w:szCs w:val="21"/>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7E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53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21200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70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 xml:space="preserve">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FE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77A3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F58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区</w:t>
            </w:r>
          </w:p>
          <w:p w14:paraId="652F56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位</w:t>
            </w:r>
          </w:p>
          <w:p w14:paraId="523535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w:t>
            </w:r>
          </w:p>
          <w:p w14:paraId="179FF3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目</w:t>
            </w:r>
          </w:p>
          <w:p w14:paraId="3832CF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材</w:t>
            </w:r>
          </w:p>
          <w:p w14:paraId="7C8650C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w:t>
            </w:r>
          </w:p>
        </w:tc>
        <w:tc>
          <w:tcPr>
            <w:tcW w:w="108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8B5D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区位项目沙盘尺寸</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94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F3A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8" w:hRule="atLeast"/>
          <w:tblHeader/>
          <w:jc w:val="center"/>
        </w:trPr>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F70A9">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000000"/>
                <w:sz w:val="21"/>
                <w:szCs w:val="21"/>
                <w:u w:val="none"/>
              </w:rPr>
            </w:pP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C50B">
            <w:pPr>
              <w:keepNext w:val="0"/>
              <w:keepLines w:val="0"/>
              <w:pageBreakBefore w:val="0"/>
              <w:widowControl/>
              <w:suppressLineNumbers w:val="0"/>
              <w:kinsoku/>
              <w:wordWrap/>
              <w:overflowPunct/>
              <w:topLinePunct w:val="0"/>
              <w:autoSpaceDE/>
              <w:autoSpaceDN/>
              <w:bidi w:val="0"/>
              <w:adjustRightInd/>
              <w:snapToGrid/>
              <w:spacing w:after="160" w:afterAutospacing="0" w:line="240" w:lineRule="atLeas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本案比例1：800,重点配套适当放大体现，其他配套实时缩放。备注：</w:t>
            </w:r>
          </w:p>
          <w:p w14:paraId="40E435BA">
            <w:pPr>
              <w:keepNext w:val="0"/>
              <w:keepLines w:val="0"/>
              <w:pageBreakBefore w:val="0"/>
              <w:widowControl/>
              <w:suppressLineNumbers w:val="0"/>
              <w:kinsoku/>
              <w:wordWrap/>
              <w:overflowPunct/>
              <w:topLinePunct w:val="0"/>
              <w:autoSpaceDE/>
              <w:autoSpaceDN/>
              <w:bidi w:val="0"/>
              <w:adjustRightInd/>
              <w:snapToGrid/>
              <w:spacing w:after="160" w:afterAutospacing="0" w:line="240" w:lineRule="atLeas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1、此沙盘主要体现项目本案周边重点配套以及相应的地理位置，目的是为了更好地进行项目展示，提升项目溢价，增加客户购买欲。</w:t>
            </w:r>
          </w:p>
          <w:p w14:paraId="4A010BF2">
            <w:pPr>
              <w:keepNext w:val="0"/>
              <w:keepLines w:val="0"/>
              <w:pageBreakBefore w:val="0"/>
              <w:widowControl/>
              <w:suppressLineNumbers w:val="0"/>
              <w:kinsoku/>
              <w:wordWrap/>
              <w:overflowPunct/>
              <w:topLinePunct w:val="0"/>
              <w:autoSpaceDE/>
              <w:autoSpaceDN/>
              <w:bidi w:val="0"/>
              <w:adjustRightInd/>
              <w:snapToGrid/>
              <w:spacing w:after="160" w:afterAutospacing="0"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2、本案放大写实制作；周边重点配套（学校、商业、银行，水系，生态景点）及重要路网等适当放大写实制作</w:t>
            </w:r>
            <w:r>
              <w:rPr>
                <w:rStyle w:val="158"/>
                <w:rFonts w:hint="eastAsia" w:ascii="宋体" w:hAnsi="宋体" w:eastAsia="宋体" w:cs="宋体"/>
                <w:sz w:val="21"/>
                <w:szCs w:val="21"/>
                <w:lang w:val="en-US" w:eastAsia="zh-CN" w:bidi="ar"/>
              </w:rPr>
              <w:t>。</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DC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13.172</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B9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3.56m*3.7m</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C2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A0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4134</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A77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32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rPr>
            </w:pPr>
          </w:p>
        </w:tc>
      </w:tr>
      <w:tr w14:paraId="58C4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3B63">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000000"/>
                <w:sz w:val="21"/>
                <w:szCs w:val="21"/>
                <w:u w:val="none"/>
              </w:rPr>
            </w:pP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18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景观灯光：将设置草皮灯、广场流动灯、地下车库入口流动灯、植物射灯等，并用丰富多彩光电效果处理，如草丛、树下安 装绿色灯、花丛内安装彩色灯、路灯安装白色灯、广场安装白色流动灯光等。 景观水系：项目内部水系采用蓝底仿真水工艺效果表现，并结合德国进口水纹玻璃，将整个水面设置成波光粼粼、微波荡漾的 水景效果</w:t>
            </w:r>
            <w:r>
              <w:rPr>
                <w:rStyle w:val="158"/>
                <w:rFonts w:hint="eastAsia" w:ascii="宋体" w:hAnsi="宋体" w:eastAsia="宋体" w:cs="宋体"/>
                <w:sz w:val="21"/>
                <w:szCs w:val="21"/>
                <w:lang w:val="en-US" w:eastAsia="zh-CN" w:bidi="ar"/>
              </w:rPr>
              <w:t>。</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850D">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1"/>
                <w:szCs w:val="21"/>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C800">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1"/>
                <w:szCs w:val="21"/>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8B1C">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1"/>
                <w:szCs w:val="21"/>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20A3">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1"/>
                <w:szCs w:val="21"/>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856C3">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31E9">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1"/>
                <w:szCs w:val="21"/>
                <w:u w:val="none"/>
              </w:rPr>
            </w:pPr>
          </w:p>
        </w:tc>
      </w:tr>
      <w:tr w14:paraId="70D6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12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A6D5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大理石沙盘底座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65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191B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4E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沙盘</w:t>
            </w:r>
          </w:p>
          <w:p w14:paraId="4CEADD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底座</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51A8">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大理石沙盘底座，内部采用沙比利木制搭建结构表面采用普通石材外贴拼接，手工打磨后美缝处理 底部采用LED灯亮化，作为氛围灯；底座建议高度：600MM</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60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21.09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39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3.7m*5.7m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89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98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1007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5E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 xml:space="preserve"> </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AC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lang w:val="en-US" w:eastAsia="zh-CN"/>
              </w:rPr>
            </w:pPr>
          </w:p>
        </w:tc>
      </w:tr>
      <w:tr w14:paraId="1396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7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05B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临展沙盘（数量1套）</w:t>
            </w:r>
          </w:p>
        </w:tc>
        <w:tc>
          <w:tcPr>
            <w:tcW w:w="538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A8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各项明细</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25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082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12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C896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临时售楼部写意沙盘（1.2m*1.8m）</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DA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EC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F8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临时售楼部写意沙盘</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7FC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内置自然白灯光；高度建议：参考真实层高制作。注：内层带分割线、窗户线、平面布局线；景观全部写意制作，金属正面人工做漆、雕刻机精细刻画出园区路网、铺砖、星光跑道，自然白内透光；仿真水面，</w:t>
            </w:r>
          </w:p>
          <w:p w14:paraId="54752DAB">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底座要求：内部采用沙比利木制搭建结构，表面采用定制钢琴漆，手工打磨平整处理；底部采用LED灯亮化，作为氛围灯；</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9D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B0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1.2m*1.8m</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78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BF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23320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35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 xml:space="preserve">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ED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1B65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tblHeader/>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ED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品牌墙</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4A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墙面整体轻钢龙骨框架，木饰面打底，面层不锈钢电镀色;字体迷你发光字，水晶字，部分字体丝印;精工不锈钢发光地图;画面超薄迷你灯箱，正背发光;墙面造型及部分线条发光。材质颜色为亚克力石。</w:t>
            </w:r>
          </w:p>
        </w:tc>
        <w:tc>
          <w:tcPr>
            <w:tcW w:w="1262" w:type="dxa"/>
            <w:tcBorders>
              <w:top w:val="single" w:color="000000" w:sz="4" w:space="0"/>
              <w:left w:val="single" w:color="000000" w:sz="4" w:space="0"/>
              <w:bottom w:val="single" w:color="000000" w:sz="4" w:space="0"/>
              <w:right w:val="single" w:color="auto" w:sz="4" w:space="0"/>
            </w:tcBorders>
            <w:shd w:val="clear" w:color="auto" w:fill="auto"/>
            <w:vAlign w:val="center"/>
          </w:tcPr>
          <w:p w14:paraId="2336E1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463" w:type="dxa"/>
            <w:tcBorders>
              <w:top w:val="single" w:color="000000" w:sz="4" w:space="0"/>
              <w:left w:val="single" w:color="auto" w:sz="4" w:space="0"/>
              <w:bottom w:val="single" w:color="000000" w:sz="4" w:space="0"/>
              <w:right w:val="single" w:color="auto" w:sz="4" w:space="0"/>
            </w:tcBorders>
            <w:shd w:val="clear" w:color="auto" w:fill="auto"/>
            <w:vAlign w:val="center"/>
          </w:tcPr>
          <w:p w14:paraId="5569F8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8m*2.2m</w:t>
            </w:r>
          </w:p>
        </w:tc>
        <w:tc>
          <w:tcPr>
            <w:tcW w:w="571" w:type="dxa"/>
            <w:tcBorders>
              <w:top w:val="single" w:color="000000" w:sz="4" w:space="0"/>
              <w:left w:val="single" w:color="auto" w:sz="4" w:space="0"/>
              <w:bottom w:val="single" w:color="000000" w:sz="4" w:space="0"/>
              <w:right w:val="single" w:color="auto" w:sz="4" w:space="0"/>
            </w:tcBorders>
            <w:shd w:val="clear" w:color="auto" w:fill="auto"/>
            <w:vAlign w:val="center"/>
          </w:tcPr>
          <w:p w14:paraId="4AD6CA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04" w:type="dxa"/>
            <w:tcBorders>
              <w:top w:val="single" w:color="000000" w:sz="4" w:space="0"/>
              <w:left w:val="single" w:color="auto" w:sz="4" w:space="0"/>
              <w:bottom w:val="single" w:color="000000" w:sz="4" w:space="0"/>
              <w:right w:val="single" w:color="auto" w:sz="4" w:space="0"/>
            </w:tcBorders>
            <w:shd w:val="clear" w:color="auto" w:fill="auto"/>
            <w:vAlign w:val="center"/>
          </w:tcPr>
          <w:p w14:paraId="20ED97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3286</w:t>
            </w:r>
          </w:p>
        </w:tc>
        <w:tc>
          <w:tcPr>
            <w:tcW w:w="984" w:type="dxa"/>
            <w:tcBorders>
              <w:top w:val="single" w:color="000000" w:sz="4" w:space="0"/>
              <w:left w:val="single" w:color="auto" w:sz="4" w:space="0"/>
              <w:bottom w:val="single" w:color="000000" w:sz="4" w:space="0"/>
              <w:right w:val="single" w:color="000000" w:sz="4" w:space="0"/>
            </w:tcBorders>
            <w:shd w:val="clear" w:color="auto" w:fill="auto"/>
            <w:vAlign w:val="center"/>
          </w:tcPr>
          <w:p w14:paraId="42AA41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 xml:space="preserve"> </w:t>
            </w:r>
          </w:p>
        </w:tc>
        <w:tc>
          <w:tcPr>
            <w:tcW w:w="984" w:type="dxa"/>
            <w:tcBorders>
              <w:top w:val="single" w:color="000000" w:sz="4" w:space="0"/>
              <w:left w:val="single" w:color="auto" w:sz="4" w:space="0"/>
              <w:bottom w:val="single" w:color="000000" w:sz="4" w:space="0"/>
              <w:right w:val="single" w:color="000000" w:sz="4" w:space="0"/>
            </w:tcBorders>
            <w:shd w:val="clear" w:color="auto" w:fill="auto"/>
            <w:vAlign w:val="center"/>
          </w:tcPr>
          <w:p w14:paraId="68CE37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0FD9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736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1A33B7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 xml:space="preserve">   投标总报价（元）</w:t>
            </w:r>
            <w:r>
              <w:rPr>
                <w:rFonts w:hint="eastAsia" w:ascii="宋体" w:hAnsi="宋体" w:eastAsia="宋体" w:cs="宋体"/>
                <w:i w:val="0"/>
                <w:iCs w:val="0"/>
                <w:color w:val="000000"/>
                <w:sz w:val="21"/>
                <w:szCs w:val="21"/>
                <w:u w:val="none"/>
                <w:lang w:val="en-US" w:eastAsia="zh-CN"/>
              </w:rPr>
              <w:t xml:space="preserve">                                                                                                               </w:t>
            </w:r>
          </w:p>
        </w:tc>
        <w:tc>
          <w:tcPr>
            <w:tcW w:w="6368" w:type="dxa"/>
            <w:gridSpan w:val="6"/>
            <w:tcBorders>
              <w:top w:val="single" w:color="000000" w:sz="4" w:space="0"/>
              <w:left w:val="single" w:color="auto" w:sz="4" w:space="0"/>
              <w:bottom w:val="single" w:color="000000" w:sz="4" w:space="0"/>
              <w:right w:val="single" w:color="000000" w:sz="4" w:space="0"/>
            </w:tcBorders>
            <w:shd w:val="clear" w:color="auto" w:fill="auto"/>
            <w:noWrap/>
            <w:vAlign w:val="center"/>
          </w:tcPr>
          <w:p w14:paraId="722192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 xml:space="preserve"> </w:t>
            </w:r>
          </w:p>
        </w:tc>
      </w:tr>
    </w:tbl>
    <w:p w14:paraId="0464C9C8">
      <w:pPr>
        <w:keepNext w:val="0"/>
        <w:keepLines w:val="0"/>
        <w:pageBreakBefore w:val="0"/>
        <w:widowControl w:val="0"/>
        <w:kinsoku/>
        <w:wordWrap/>
        <w:overflowPunct/>
        <w:topLinePunct w:val="0"/>
        <w:autoSpaceDE/>
        <w:autoSpaceDN/>
        <w:bidi w:val="0"/>
        <w:adjustRightInd/>
        <w:snapToGrid/>
        <w:spacing w:line="400" w:lineRule="exact"/>
        <w:ind w:firstLine="3040" w:firstLineChars="950"/>
        <w:jc w:val="right"/>
        <w:textAlignment w:val="auto"/>
        <w:rPr>
          <w:color w:val="auto"/>
          <w:szCs w:val="21"/>
          <w:highlight w:val="none"/>
          <w:u w:val="single"/>
        </w:rPr>
      </w:pPr>
      <w:r>
        <w:rPr>
          <w:rFonts w:hint="eastAsia" w:ascii="仿宋_GB2312" w:hAnsi="仿宋_GB2312" w:eastAsia="仿宋_GB2312" w:cs="仿宋_GB2312"/>
          <w:color w:val="000000"/>
          <w:kern w:val="2"/>
          <w:sz w:val="32"/>
          <w:szCs w:val="32"/>
          <w:lang w:val="en-US" w:eastAsia="zh-CN" w:bidi="ar-SA"/>
        </w:rPr>
        <w:t xml:space="preserve"> </w:t>
      </w: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u w:val="single"/>
          <w:lang w:val="en-US" w:eastAsia="zh-CN"/>
        </w:rPr>
        <w:t>盖章</w:t>
      </w:r>
      <w:r>
        <w:rPr>
          <w:rFonts w:hint="eastAsia"/>
          <w:color w:val="auto"/>
          <w:szCs w:val="21"/>
          <w:highlight w:val="none"/>
          <w:u w:val="single"/>
        </w:rPr>
        <w:t>）</w:t>
      </w:r>
      <w:r>
        <w:rPr>
          <w:color w:val="auto"/>
          <w:szCs w:val="21"/>
          <w:highlight w:val="none"/>
          <w:u w:val="single"/>
        </w:rPr>
        <w:t xml:space="preserve"> </w:t>
      </w:r>
    </w:p>
    <w:p w14:paraId="50B87F4A">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color w:val="auto"/>
          <w:szCs w:val="21"/>
          <w:highlight w:val="none"/>
          <w:u w:val="single"/>
          <w:lang w:eastAsia="zh-CN"/>
        </w:rPr>
      </w:pPr>
      <w:r>
        <w:rPr>
          <w:rFonts w:hint="eastAsia"/>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（签字或签章</w:t>
      </w:r>
      <w:r>
        <w:rPr>
          <w:rFonts w:hint="eastAsia"/>
          <w:color w:val="auto"/>
          <w:szCs w:val="21"/>
          <w:highlight w:val="none"/>
          <w:u w:val="single"/>
          <w:lang w:eastAsia="zh-CN"/>
        </w:rPr>
        <w:t>）</w:t>
      </w:r>
    </w:p>
    <w:p w14:paraId="687CD742">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宋体" w:hAnsi="宋体" w:eastAsia="黑体" w:cs="宋体"/>
          <w:b/>
          <w:bCs/>
          <w:color w:val="auto"/>
          <w:sz w:val="28"/>
          <w:szCs w:val="28"/>
          <w:highlight w:val="none"/>
          <w:lang w:val="en-US" w:eastAsia="zh-CN"/>
        </w:rPr>
      </w:pPr>
      <w:r>
        <w:rPr>
          <w:rFonts w:hint="eastAsia"/>
          <w:color w:val="auto"/>
          <w:szCs w:val="21"/>
          <w:highlight w:val="none"/>
          <w:u w:val="single"/>
          <w:lang w:val="en-US" w:eastAsia="zh-CN"/>
        </w:rPr>
        <w:t>日期：年   月      日</w:t>
      </w:r>
    </w:p>
    <w:p w14:paraId="6C1516A1">
      <w:pPr>
        <w:rPr>
          <w:rFonts w:hint="eastAsia" w:ascii="宋体" w:hAnsi="宋体" w:eastAsia="黑体" w:cs="宋体"/>
          <w:b/>
          <w:bCs/>
          <w:color w:val="auto"/>
          <w:sz w:val="28"/>
          <w:szCs w:val="28"/>
          <w:highlight w:val="none"/>
          <w:lang w:val="en-US" w:eastAsia="zh-CN"/>
        </w:rPr>
      </w:pPr>
    </w:p>
    <w:p w14:paraId="1ACFA629">
      <w:pPr>
        <w:pStyle w:val="2"/>
        <w:rPr>
          <w:rFonts w:hint="eastAsia"/>
          <w:lang w:val="en-US" w:eastAsia="zh-CN"/>
        </w:rPr>
        <w:sectPr>
          <w:pgSz w:w="16838" w:h="11906" w:orient="landscape"/>
          <w:pgMar w:top="1259" w:right="935" w:bottom="1106" w:left="936" w:header="680" w:footer="680" w:gutter="0"/>
          <w:pgNumType w:fmt="decimal"/>
          <w:cols w:space="0" w:num="1"/>
          <w:rtlGutter w:val="0"/>
          <w:docGrid w:type="lines" w:linePitch="318" w:charSpace="0"/>
        </w:sectPr>
      </w:pPr>
    </w:p>
    <w:p w14:paraId="5CA0FCEE">
      <w:pPr>
        <w:pStyle w:val="6"/>
        <w:spacing w:before="200" w:after="200" w:line="600" w:lineRule="exact"/>
        <w:jc w:val="center"/>
        <w:rPr>
          <w:rFonts w:hint="eastAsia" w:ascii="黑体" w:hAnsi="黑体" w:eastAsia="黑体"/>
          <w:color w:val="000000"/>
          <w:sz w:val="24"/>
          <w:szCs w:val="24"/>
        </w:rPr>
      </w:pPr>
      <w:r>
        <w:rPr>
          <w:rFonts w:hint="eastAsia" w:ascii="黑体" w:hAnsi="黑体" w:eastAsia="黑体"/>
          <w:color w:val="000000"/>
          <w:sz w:val="24"/>
          <w:szCs w:val="24"/>
        </w:rPr>
        <w:t>附件1 关于联合惩戒失信行为加强信用查询管理的通知</w:t>
      </w:r>
      <w:bookmarkEnd w:id="26"/>
    </w:p>
    <w:p w14:paraId="234AD5DB">
      <w:pPr>
        <w:keepNext w:val="0"/>
        <w:keepLines w:val="0"/>
        <w:pageBreakBefore w:val="0"/>
        <w:widowControl w:val="0"/>
        <w:kinsoku/>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一、失信行为联合惩戒的范围和查询渠道</w:t>
      </w:r>
    </w:p>
    <w:p w14:paraId="54B899D8">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在我市公共资源交易活动中对存在下列失信行为的投标人、法定代表人及其项目经理（建造师）实施联合惩戒，禁止参与我市公共资源交易活动。</w:t>
      </w:r>
    </w:p>
    <w:p w14:paraId="738B8C47">
      <w:pPr>
        <w:keepNext w:val="0"/>
        <w:keepLines w:val="0"/>
        <w:pageBreakBefore w:val="0"/>
        <w:widowControl w:val="0"/>
        <w:kinsoku/>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（一）工程建设项目</w:t>
      </w:r>
    </w:p>
    <w:p w14:paraId="40AB8B8C">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1、“信用中国”网站（www.creditchina.gov.cn）查询以下失信行为：</w:t>
      </w:r>
    </w:p>
    <w:p w14:paraId="07048CAF">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①投标人被人民法院列入失信被执行人的；</w:t>
      </w:r>
    </w:p>
    <w:p w14:paraId="60A12B79">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②投标人被税务部门列入重大税收违法案件当事人的；</w:t>
      </w:r>
    </w:p>
    <w:p w14:paraId="31119F2E">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③投标人被人力资源社会保障主管部门列入拖欠农民工工资“黑名单”的；</w:t>
      </w:r>
    </w:p>
    <w:p w14:paraId="1700EB88">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④在“信用中国”网站上披露的仍在公示期的严重失信行为的。</w:t>
      </w:r>
    </w:p>
    <w:p w14:paraId="30513937">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2、国家企业信用信息公示系统网站（</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HYPERLINK "http://www.gsxt.gov.cn）查询"</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www.gsxt.gov.cn）</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查询以下失信行为：</w:t>
      </w:r>
    </w:p>
    <w:p w14:paraId="3E87B34B">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①被市场监督管理部门列入经营异常名录或者严重违法企业名单的。</w:t>
      </w:r>
    </w:p>
    <w:p w14:paraId="59EC100C">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3、滁州市公共资源交易中心网站（http://ggzy.chuzhou.gov.cn/）查询以下失信行为：</w:t>
      </w:r>
    </w:p>
    <w:p w14:paraId="668BB562">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①被滁州市县两级公管部门取消在一定期限内的投标资格且在取消期限内的；</w:t>
      </w:r>
    </w:p>
    <w:p w14:paraId="5E567C11">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②被滁州市县两级公管部门记入不良行为记录或者信用信息记录，且在披露期内的。</w:t>
      </w:r>
    </w:p>
    <w:p w14:paraId="7984A650">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4、由竞争主体进行承诺，不进行现场网上信用查询的失信行为：</w:t>
      </w:r>
    </w:p>
    <w:p w14:paraId="1854E75E">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①前三年有行贿犯罪行为的单位和个人；</w:t>
      </w:r>
    </w:p>
    <w:p w14:paraId="4EB4B0AB">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②被滁州市县两级各行业主管部门取消在一定期限内的投标资格且在取消期限内的；</w:t>
      </w:r>
    </w:p>
    <w:p w14:paraId="6373069E">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③因拖欠农民工工资被县级及以上有关行政主管部门限制投标资格且在限制期限内的；</w:t>
      </w:r>
    </w:p>
    <w:p w14:paraId="1B196C4E">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59ED0D4">
      <w:pPr>
        <w:keepNext w:val="0"/>
        <w:keepLines w:val="0"/>
        <w:pageBreakBefore w:val="0"/>
        <w:widowControl w:val="0"/>
        <w:kinsoku/>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（二）政府采购项目</w:t>
      </w:r>
    </w:p>
    <w:p w14:paraId="7AEE48F0">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1、“信用中国”网站（www.creditchina.gov.cn）查询以下失信行为：</w:t>
      </w:r>
    </w:p>
    <w:p w14:paraId="035EFBC7">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①投标人被人民法院列入失信被执行人的；</w:t>
      </w:r>
    </w:p>
    <w:p w14:paraId="5DBE91B4">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②投标人被税务部门列入重大税收违法案件当事人的；</w:t>
      </w:r>
    </w:p>
    <w:p w14:paraId="50762250">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③在“信用中国”网站上披露的仍在公示期的严重失信行为的。</w:t>
      </w:r>
    </w:p>
    <w:p w14:paraId="7F0CA09A">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2、国家企业信用信息公示系统网站（</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HYPERLINK "http://www.gsxt.gov.cn）查询"</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www.gsxt.gov.cn）</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查询以下失信行为：</w:t>
      </w:r>
    </w:p>
    <w:p w14:paraId="1232042B">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①被市场监督管理部门列入经营异常名录或者严重违法企业名单的。</w:t>
      </w:r>
    </w:p>
    <w:p w14:paraId="578CE140">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3、中国政府采购网站（</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"http://www.ccgp.gov.cn" </w:instrText>
      </w:r>
      <w:r>
        <w:rPr>
          <w:rFonts w:hint="eastAsia" w:ascii="宋体" w:hAnsi="宋体" w:eastAsia="宋体" w:cs="宋体"/>
          <w:color w:val="000000"/>
          <w:sz w:val="24"/>
          <w:szCs w:val="24"/>
        </w:rPr>
        <w:fldChar w:fldCharType="separate"/>
      </w:r>
      <w:r>
        <w:rPr>
          <w:rStyle w:val="58"/>
          <w:rFonts w:hint="eastAsia" w:ascii="宋体" w:hAnsi="宋体" w:eastAsia="宋体" w:cs="宋体"/>
          <w:color w:val="000000"/>
          <w:sz w:val="24"/>
          <w:szCs w:val="24"/>
        </w:rPr>
        <w:t>www.ccgp.gov.cn</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）查询以下失信行为：</w:t>
      </w:r>
    </w:p>
    <w:p w14:paraId="62289E0A">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①政府采购严重违法失信行为</w:t>
      </w:r>
    </w:p>
    <w:p w14:paraId="7F7EDBD2">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4、由竞争主体进行承诺，不进行现场网上信用查询的失信行为：</w:t>
      </w:r>
    </w:p>
    <w:p w14:paraId="6380FD69">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①前三年有行贿犯罪行为的单位和个人。</w:t>
      </w:r>
    </w:p>
    <w:p w14:paraId="74F1CDD0">
      <w:pPr>
        <w:keepNext w:val="0"/>
        <w:keepLines w:val="0"/>
        <w:pageBreakBefore w:val="0"/>
        <w:widowControl w:val="0"/>
        <w:kinsoku/>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二、在开评标活动中的查询程序</w:t>
      </w:r>
    </w:p>
    <w:p w14:paraId="26B4977C">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1E25CFAB">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14:paraId="09E21DBF">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3、项目单位及其委托的代理机构应当做好信用查询结果截图和记录留存。</w:t>
      </w:r>
    </w:p>
    <w:p w14:paraId="1ED5224C">
      <w:pPr>
        <w:keepNext w:val="0"/>
        <w:keepLines w:val="0"/>
        <w:pageBreakBefore w:val="0"/>
        <w:widowControl w:val="0"/>
        <w:kinsoku/>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三、相关要求</w:t>
      </w:r>
    </w:p>
    <w:p w14:paraId="532A3E73">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1、参与公共资源交易活动的竞争主体根据上述范围查询的内容进行自查并承诺，出具《诚信投标承诺书》（诚信投标承诺书包括但不限于上述自查并承诺内容）并注明承诺日期（投标截止时间前5日内）。</w:t>
      </w:r>
    </w:p>
    <w:p w14:paraId="43D22B72">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5D46F13">
      <w:pPr>
        <w:keepNext w:val="0"/>
        <w:keepLines w:val="0"/>
        <w:pageBreakBefore w:val="0"/>
        <w:widowControl w:val="0"/>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"https://credit.ah.gov.cn/xinyong-fuwu/xvbahv/index.html" </w:instrText>
      </w:r>
      <w:r>
        <w:rPr>
          <w:rFonts w:hint="eastAsia" w:ascii="宋体" w:hAnsi="宋体" w:eastAsia="宋体" w:cs="宋体"/>
          <w:color w:val="000000"/>
          <w:sz w:val="24"/>
          <w:szCs w:val="24"/>
        </w:rPr>
        <w:fldChar w:fldCharType="separate"/>
      </w:r>
      <w:r>
        <w:rPr>
          <w:rStyle w:val="58"/>
          <w:rFonts w:hint="eastAsia" w:ascii="宋体" w:hAnsi="宋体" w:eastAsia="宋体" w:cs="宋体"/>
          <w:color w:val="000000"/>
          <w:sz w:val="24"/>
          <w:szCs w:val="24"/>
        </w:rPr>
        <w:t>https://credit.ah.gov.cn/xinyong-fuwu/xvbahv/index.html</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83E0996">
      <w:pPr>
        <w:keepNext w:val="0"/>
        <w:keepLines w:val="0"/>
        <w:pageBreakBefore w:val="0"/>
        <w:widowControl w:val="0"/>
        <w:kinsoku/>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2、“信用中国”查询的严重失信行为判定依据为各行业主管部门下发的联合惩戒文件中规定的行为（按附件2执行）。</w:t>
      </w:r>
    </w:p>
    <w:p w14:paraId="0CF2C980">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3、资格预审的项目以递交资格预审申请文件截止时间查询为准；资格后审的项目以递交投标文件截止时间查询为准。</w:t>
      </w:r>
    </w:p>
    <w:p w14:paraId="5BC8135A">
      <w:pPr>
        <w:adjustRightInd w:val="0"/>
        <w:snapToGrid w:val="0"/>
        <w:spacing w:line="560" w:lineRule="exact"/>
        <w:rPr>
          <w:rFonts w:hint="eastAsia"/>
          <w:color w:val="000000"/>
          <w:sz w:val="24"/>
          <w:szCs w:val="24"/>
        </w:rPr>
      </w:pPr>
    </w:p>
    <w:p w14:paraId="689A1C8A">
      <w:pPr>
        <w:rPr>
          <w:rFonts w:hint="eastAsia"/>
          <w:color w:val="000000"/>
          <w:sz w:val="24"/>
          <w:szCs w:val="24"/>
        </w:rPr>
      </w:pPr>
    </w:p>
    <w:p w14:paraId="6264B812">
      <w:pPr>
        <w:pStyle w:val="2"/>
        <w:rPr>
          <w:rFonts w:hint="eastAsia"/>
        </w:rPr>
      </w:pPr>
    </w:p>
    <w:p w14:paraId="703F5655">
      <w:pPr>
        <w:pStyle w:val="46"/>
        <w:rPr>
          <w:rFonts w:hint="eastAsia"/>
        </w:rPr>
      </w:pPr>
    </w:p>
    <w:p w14:paraId="5E63FC6F">
      <w:pPr>
        <w:pStyle w:val="46"/>
        <w:rPr>
          <w:rFonts w:hint="eastAsia"/>
        </w:rPr>
      </w:pPr>
    </w:p>
    <w:p w14:paraId="7F280655">
      <w:pPr>
        <w:pStyle w:val="46"/>
        <w:rPr>
          <w:rFonts w:hint="eastAsia"/>
        </w:rPr>
      </w:pPr>
    </w:p>
    <w:p w14:paraId="4F7BE736">
      <w:pPr>
        <w:pStyle w:val="46"/>
        <w:rPr>
          <w:rFonts w:hint="eastAsia"/>
        </w:rPr>
      </w:pPr>
    </w:p>
    <w:p w14:paraId="7A2A3BD4">
      <w:pPr>
        <w:pStyle w:val="46"/>
        <w:rPr>
          <w:rFonts w:hint="eastAsia"/>
        </w:rPr>
      </w:pPr>
    </w:p>
    <w:p w14:paraId="749B5C77">
      <w:pPr>
        <w:pStyle w:val="46"/>
        <w:rPr>
          <w:rFonts w:hint="eastAsia"/>
        </w:rPr>
      </w:pPr>
    </w:p>
    <w:p w14:paraId="5B495AE2">
      <w:pPr>
        <w:pStyle w:val="46"/>
        <w:rPr>
          <w:rFonts w:hint="eastAsia"/>
        </w:rPr>
      </w:pPr>
    </w:p>
    <w:p w14:paraId="3CAD0265">
      <w:pPr>
        <w:pStyle w:val="46"/>
        <w:rPr>
          <w:rFonts w:hint="eastAsia"/>
        </w:rPr>
      </w:pPr>
    </w:p>
    <w:p w14:paraId="1EF4E0F7">
      <w:pPr>
        <w:pStyle w:val="46"/>
        <w:rPr>
          <w:rFonts w:hint="eastAsia"/>
        </w:rPr>
      </w:pPr>
    </w:p>
    <w:p w14:paraId="5E0DCB40">
      <w:pPr>
        <w:pStyle w:val="46"/>
        <w:rPr>
          <w:rFonts w:hint="eastAsia"/>
        </w:rPr>
      </w:pPr>
    </w:p>
    <w:p w14:paraId="6003ED6D">
      <w:pPr>
        <w:pStyle w:val="46"/>
        <w:rPr>
          <w:rFonts w:hint="eastAsia"/>
        </w:rPr>
      </w:pPr>
    </w:p>
    <w:p w14:paraId="6A4EC726">
      <w:pPr>
        <w:pStyle w:val="46"/>
        <w:rPr>
          <w:rFonts w:hint="eastAsia"/>
        </w:rPr>
      </w:pPr>
    </w:p>
    <w:p w14:paraId="00795D12">
      <w:pPr>
        <w:pStyle w:val="6"/>
        <w:spacing w:before="200" w:after="200" w:line="600" w:lineRule="exact"/>
        <w:jc w:val="center"/>
        <w:rPr>
          <w:rFonts w:hint="eastAsia" w:ascii="黑体" w:hAnsi="黑体" w:eastAsia="黑体"/>
          <w:color w:val="000000"/>
          <w:sz w:val="24"/>
          <w:szCs w:val="24"/>
        </w:rPr>
      </w:pPr>
      <w:bookmarkStart w:id="28" w:name="_Toc95223549"/>
      <w:r>
        <w:rPr>
          <w:rFonts w:hint="eastAsia" w:ascii="黑体" w:hAnsi="黑体" w:eastAsia="黑体"/>
          <w:color w:val="000000"/>
          <w:sz w:val="24"/>
          <w:szCs w:val="24"/>
        </w:rPr>
        <w:t>附件2 “信用中国”查询的严重失信行为类别及判定依据</w:t>
      </w:r>
      <w:bookmarkEnd w:id="28"/>
    </w:p>
    <w:p w14:paraId="53948902">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“信用中国”查询的严重失信行为判定依据为各行业主管部门下发的联合惩戒文件中规定的行为。下面将部分类别的严重失信行为列举如下：</w:t>
      </w:r>
    </w:p>
    <w:p w14:paraId="24C00015">
      <w:pPr>
        <w:adjustRightInd w:val="0"/>
        <w:snapToGrid w:val="0"/>
        <w:spacing w:line="560" w:lineRule="exact"/>
        <w:ind w:firstLine="645"/>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一、安全生产领域严重失信行为：</w:t>
      </w:r>
    </w:p>
    <w:p w14:paraId="2F2AF6B9">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（一）发生较大及以上生产安全责任事故，或1年内累计发生3起及以上造成人员死亡的一般生产安全责任事故的；</w:t>
      </w:r>
    </w:p>
    <w:p w14:paraId="7A3ECB06">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（二）未按规定取得安全生产许可，擅自开展生产经营建设活动的；</w:t>
      </w:r>
    </w:p>
    <w:p w14:paraId="375BB49B">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（三）发现重大生产安全事故隐患，或职业病危害严重超标，不及时整改，仍组织从业人员冒险作业的；</w:t>
      </w:r>
    </w:p>
    <w:p w14:paraId="48CD0E7A">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（四）采取隐蔽、欺骗或阻碍等方式逃避、对抗安全监管监察的;</w:t>
      </w:r>
    </w:p>
    <w:p w14:paraId="08B7ACBD">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（五）被责令停产停业整顿，仍然从事生产经营建设活动的；</w:t>
      </w:r>
    </w:p>
    <w:p w14:paraId="0DDF3AEC">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（六）瞒报、谎报、迟报生产安全事故的；</w:t>
      </w:r>
    </w:p>
    <w:p w14:paraId="2F8A2769">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（七）矿山、危险化学品、金属冶炼等高危行业建设项目安全设施未经验收合格即投入生产和使用的；</w:t>
      </w:r>
    </w:p>
    <w:p w14:paraId="4D88C8C3">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（八）矿山生产经营单位存在超层越界开采、以探代采行为的；</w:t>
      </w:r>
    </w:p>
    <w:p w14:paraId="58E4B097">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（九）发生事故后，故意破坏事故现场，伪造有关证据资料，妨碍、对抗事故调查，或主要负责人逃逸的；</w:t>
      </w:r>
    </w:p>
    <w:p w14:paraId="1409DDA3">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（十）安全生产和职业健康技术服务机构出具虚假报告或证明，违规转让或出借资质的。</w:t>
      </w:r>
    </w:p>
    <w:p w14:paraId="21CF68DE">
      <w:pPr>
        <w:adjustRightInd w:val="0"/>
        <w:snapToGrid w:val="0"/>
        <w:spacing w:line="560" w:lineRule="exact"/>
        <w:ind w:firstLine="645"/>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依据：《对安全生产领域失信行为开展联合惩戒的实施办法》（安监总办〔2017〕49号）第二条</w:t>
      </w:r>
    </w:p>
    <w:p w14:paraId="6F26CDE2">
      <w:pPr>
        <w:adjustRightInd w:val="0"/>
        <w:snapToGrid w:val="0"/>
        <w:spacing w:line="560" w:lineRule="exact"/>
        <w:ind w:firstLine="645"/>
        <w:jc w:val="left"/>
        <w:rPr>
          <w:rFonts w:hint="eastAsia" w:ascii="宋体" w:hAnsi="宋体" w:eastAsia="宋体" w:cs="宋体"/>
          <w:b/>
          <w:color w:val="000000"/>
          <w:sz w:val="24"/>
          <w:szCs w:val="24"/>
        </w:rPr>
      </w:pPr>
    </w:p>
    <w:p w14:paraId="626E3788">
      <w:pPr>
        <w:adjustRightInd w:val="0"/>
        <w:snapToGrid w:val="0"/>
        <w:spacing w:line="560" w:lineRule="exact"/>
        <w:ind w:firstLine="645"/>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二、环境保护领域严重失信行为：</w:t>
      </w:r>
    </w:p>
    <w:p w14:paraId="711CF024">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（一）因为环境违法构成</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"https://baike.sogou.com/m/fullLemma?lid=10403954&amp;g_ut=3" \t "https://baike.sogou.com/m/_blank"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环境犯罪</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的；</w:t>
      </w:r>
    </w:p>
    <w:p w14:paraId="0B4CEE1B">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（二）</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"https://baike.sogou.com/m/fullLemma?lid=76033123&amp;g_ut=3" \t "https://baike.sogou.com/m/_blank"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建设项目环境影响评价</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文件未按规定通过审批，擅自开工建设的；</w:t>
      </w:r>
    </w:p>
    <w:p w14:paraId="1EA8AB0F">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（三）建设项目环保设施未建成、环保措施未落实、未通过</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"https://baike.sogou.com/m/fullLemma?lid=6470550&amp;g_ut=3" \t "https://baike.sogou.com/m/_blank"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竣工环保验收</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或者验收不合格，主体工程正式投入生产或者使用的；</w:t>
      </w:r>
    </w:p>
    <w:p w14:paraId="78FF81F1">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（四）建设项目性质、规模、地点、采用的生产工艺或者防治污染、防止生态破坏的措施发生重大变动，未重新报批环境影响评价文件，擅自投入生产或者使用的；</w:t>
      </w:r>
    </w:p>
    <w:p w14:paraId="62F9E7E2">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（五）主要污染物排放总量超过控制指标的；</w:t>
      </w:r>
    </w:p>
    <w:p w14:paraId="764C8CC6">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（六）私设暗管或者利用</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"https://baike.sogou.com/m/fullLemma?lid=41657319&amp;g_ut=3" \t "https://baike.sogou.com/m/_blank"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渗井</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、渗坑、裂隙、溶洞等排放、倾倒、处置水污染物，或者通过私设旁路排放</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"https://baike.sogou.com/m/fullLemma?lid=7758328&amp;g_ut=3" \t "https://baike.sogou.com/m/_blank"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大气污染物</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的；</w:t>
      </w:r>
    </w:p>
    <w:p w14:paraId="0E377B49">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（七）非法排放、倾倒、处置危险废物，或者向无</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"https://baike.sogou.com/m/fullLemma?lid=5923292&amp;g_ut=3" \t "https://baike.sogou.com/m/_blank"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经营许可证</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或者超出经营许可范围的单位或个人提供或者委托其收集、贮存、利用、处置危险废物的；</w:t>
      </w:r>
    </w:p>
    <w:p w14:paraId="4AB9A31B">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（八）</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"https://baike.sogou.com/m/fullLemma?lid=167759803&amp;g_ut=3" \t "https://baike.sogou.com/m/_blank"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环境违法行为</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造成集中式生活饮用水水源取水中断的；</w:t>
      </w:r>
    </w:p>
    <w:p w14:paraId="1A61FC2C">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（九）环境违法行为对生活饮用水水源保护区、自然保护区、</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"https://baike.sogou.com/m/fullLemma?lid=155199213&amp;g_ut=3" \t "https://baike.sogou.com/m/_blank"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国家重点生态功能区</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、风景名胜区、居住功能区、</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"https://baike.sogou.com/m/fullLemma?lid=7757164&amp;g_ut=3" \t "https://baike.sogou.com/m/_blank"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基本农田保护区</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等环境敏感区造成重大不利影响的；</w:t>
      </w:r>
    </w:p>
    <w:p w14:paraId="57889B6A">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（十）违法从事自然资源开发、交通基础设施建设，以及其他开发建设活动，造成严重生态破坏的；</w:t>
      </w:r>
    </w:p>
    <w:p w14:paraId="19674F9C">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（十一）发生较大及以上突发环境事件的；</w:t>
      </w:r>
    </w:p>
    <w:p w14:paraId="67BC1840">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（十二）被环保部门挂牌督办，整改逾期未完成的；</w:t>
      </w:r>
    </w:p>
    <w:p w14:paraId="5C8BDE6E">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（十三）以暴力、威胁等方式拒绝、阻挠环保部门工作人员现场检查的；</w:t>
      </w:r>
    </w:p>
    <w:p w14:paraId="75D8CD43">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（十四）违反重污染天气应急预案有关规定，对重污染天气响应不力的。</w:t>
      </w:r>
    </w:p>
    <w:p w14:paraId="4AC9BCD7">
      <w:pPr>
        <w:adjustRightInd w:val="0"/>
        <w:snapToGrid w:val="0"/>
        <w:spacing w:line="560" w:lineRule="exact"/>
        <w:ind w:firstLine="645"/>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依据：《关于对环境保护领域失信生产经营单位及其有关人员开展联合惩戒的合作备忘录》、《企业环境信用评价办法（试行）》（环发〔2013〕150号）</w:t>
      </w:r>
    </w:p>
    <w:p w14:paraId="099F4FFB">
      <w:pPr>
        <w:adjustRightInd w:val="0"/>
        <w:snapToGrid w:val="0"/>
        <w:spacing w:line="560" w:lineRule="exact"/>
        <w:ind w:firstLine="645"/>
        <w:jc w:val="left"/>
        <w:rPr>
          <w:rFonts w:hint="eastAsia" w:ascii="宋体" w:hAnsi="宋体" w:eastAsia="宋体" w:cs="宋体"/>
          <w:b/>
          <w:color w:val="000000"/>
          <w:sz w:val="24"/>
          <w:szCs w:val="24"/>
        </w:rPr>
      </w:pPr>
    </w:p>
    <w:p w14:paraId="7BDDA2AF">
      <w:pPr>
        <w:adjustRightInd w:val="0"/>
        <w:snapToGrid w:val="0"/>
        <w:spacing w:line="560" w:lineRule="exact"/>
        <w:ind w:firstLine="645"/>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三、</w:t>
      </w:r>
      <w:r>
        <w:rPr>
          <w:rFonts w:hint="eastAsia" w:ascii="宋体" w:hAnsi="宋体" w:eastAsia="宋体" w:cs="宋体"/>
          <w:b/>
          <w:bCs/>
          <w:color w:val="000000"/>
          <w:sz w:val="24"/>
          <w:szCs w:val="24"/>
        </w:rPr>
        <w:t>公共资源交易领域严重失信行为</w:t>
      </w:r>
    </w:p>
    <w:p w14:paraId="4A0C8D53">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（一）违反法律规定，必须进行招标的项目而不招标的，将必须进行招标的项目化整为零或者以其他任何方式规避招标的； </w:t>
      </w:r>
    </w:p>
    <w:p w14:paraId="47FDD790">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（二）招标代理机构违反法律规定，泄露应当保密的与招标投标活动有关的情况和资料的，或者与招标人、投标人串通损害 国家利益、社会公共利益或者他人合法权益的；</w:t>
      </w:r>
    </w:p>
    <w:p w14:paraId="7C5E2395">
      <w:pPr>
        <w:adjustRightInd w:val="0"/>
        <w:snapToGrid w:val="0"/>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（三）招标人以不合理的条件限制或者排斥潜在投标人的，对潜在投标人实行歧视待遇的，强制要求投标人组成联合体共同 投标的，或者限制投标人之间竞争的；</w:t>
      </w:r>
    </w:p>
    <w:p w14:paraId="23711F88">
      <w:pPr>
        <w:adjustRightInd w:val="0"/>
        <w:snapToGrid w:val="0"/>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（四）依法必须进行招标的项目的招标人向他人透露已获取招标文件的潜在投标人的名称、数量或者可能影响公平竞争的有 关招标投标的其他情况的，或者泄露标底的；</w:t>
      </w:r>
    </w:p>
    <w:p w14:paraId="26ADEBBB">
      <w:pPr>
        <w:adjustRightInd w:val="0"/>
        <w:snapToGrid w:val="0"/>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（五）投标人相互串通投标或者与招标人串通投标的，投标人以向招标人或者评标委员会成员行贿的手段谋取中标的； </w:t>
      </w:r>
    </w:p>
    <w:p w14:paraId="54894E1C">
      <w:pPr>
        <w:adjustRightInd w:val="0"/>
        <w:snapToGrid w:val="0"/>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（六）投标人以他人名义投标或者以其他方式弄虚作假，骗取中标的；</w:t>
      </w:r>
    </w:p>
    <w:p w14:paraId="7947241D">
      <w:pPr>
        <w:adjustRightInd w:val="0"/>
        <w:snapToGrid w:val="0"/>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（七）依法必须进行招标的项目，招标人违反法律规定，与投标人就投标价格、投标方案等实质性内容进行谈判的；</w:t>
      </w:r>
    </w:p>
    <w:p w14:paraId="3DDC3FA0">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88523F9">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（九）招标人在评标委员会依法推荐的中标候选人以外确定中标人的，依法必须进行招标的项目在所有投标被评标委员会否 决后自行确定中标人的； </w:t>
      </w:r>
    </w:p>
    <w:p w14:paraId="54B77E1A">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（十）中标人将中标项目转让给他人的，将中标项目肢解后分别转让给他人的，违反法律规定将中标项目的部分主体、关键 性工作分包给他人的，或者分包人再次分包的； </w:t>
      </w:r>
    </w:p>
    <w:p w14:paraId="0CBC0CAE">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（十一）招标人与中标人不按照招标文件和中标人的投标文件订立合同的，或者招标人、中标人订立背离合同实质性内容的 协议的； </w:t>
      </w:r>
    </w:p>
    <w:p w14:paraId="6A230F6C">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（十二）中标人不按照与招标人订立的合同履行义务，情节严重的； </w:t>
      </w:r>
    </w:p>
    <w:p w14:paraId="3423B292">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66865C">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79881666">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（十五）采购人对应当实行集中采购的政府采购项目，不委托集中采购机构实行集中采购的； </w:t>
      </w:r>
    </w:p>
    <w:p w14:paraId="2F69F94D">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（十六）采购人、采购代理机构违反法律规定隐匿、销毁应当保存的采购文件或者伪造、变造采购文件的； </w:t>
      </w:r>
    </w:p>
    <w:p w14:paraId="44591D2B">
      <w:pPr>
        <w:adjustRightInd w:val="0"/>
        <w:snapToGrid w:val="0"/>
        <w:spacing w:line="5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8978AF2">
      <w:pPr>
        <w:adjustRightInd w:val="0"/>
        <w:snapToGrid w:val="0"/>
        <w:spacing w:line="560" w:lineRule="exact"/>
        <w:ind w:left="141" w:leftChars="67" w:firstLine="360" w:firstLineChars="15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（十八）疫苗生产企业向县级疾病预防控制机构以外的单位或者个人销售第二类疫苗的； </w:t>
      </w:r>
    </w:p>
    <w:p w14:paraId="345867A7">
      <w:pPr>
        <w:adjustRightInd w:val="0"/>
        <w:snapToGrid w:val="0"/>
        <w:spacing w:line="560" w:lineRule="exact"/>
        <w:ind w:left="141" w:leftChars="67" w:firstLine="360" w:firstLineChars="150"/>
        <w:jc w:val="left"/>
        <w:rPr>
          <w:rFonts w:hint="eastAsia" w:ascii="宋体" w:hAnsi="宋体" w:eastAsia="宋体" w:cs="宋体"/>
          <w:color w:val="000000"/>
          <w:sz w:val="24"/>
          <w:szCs w:val="24"/>
        </w:rPr>
      </w:pPr>
      <w:r>
        <w:rPr>
          <w:rFonts w:hint="eastAsia" w:ascii="宋体" w:hAnsi="宋体" w:eastAsia="宋体" w:cs="宋体"/>
          <w:color w:val="000000"/>
          <w:sz w:val="24"/>
          <w:szCs w:val="24"/>
        </w:rPr>
        <w:t>（十九）存在其他违反公共资源交易法律法规行为的。</w:t>
      </w:r>
    </w:p>
    <w:p w14:paraId="17CB62D8">
      <w:pPr>
        <w:adjustRightInd w:val="0"/>
        <w:snapToGrid w:val="0"/>
        <w:spacing w:line="560" w:lineRule="exact"/>
        <w:ind w:firstLine="766" w:firstLineChars="318"/>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依据：《关于对公共资源交易领域严重失信主体开展联合惩戒的备忘录》（发改法规〔2018〕457号）</w:t>
      </w:r>
    </w:p>
    <w:p w14:paraId="3C938587">
      <w:pPr>
        <w:adjustRightInd w:val="0"/>
        <w:snapToGrid w:val="0"/>
        <w:spacing w:line="560" w:lineRule="exact"/>
        <w:ind w:firstLine="645"/>
        <w:jc w:val="left"/>
        <w:rPr>
          <w:rFonts w:hint="eastAsia" w:ascii="宋体" w:hAnsi="宋体" w:eastAsia="宋体" w:cs="宋体"/>
          <w:color w:val="000000"/>
          <w:sz w:val="24"/>
          <w:szCs w:val="24"/>
        </w:rPr>
      </w:pPr>
    </w:p>
    <w:p w14:paraId="06AB1B98">
      <w:pPr>
        <w:adjustRightInd w:val="0"/>
        <w:snapToGrid w:val="0"/>
        <w:spacing w:line="560" w:lineRule="exact"/>
        <w:ind w:firstLine="645"/>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四、</w:t>
      </w:r>
      <w:r>
        <w:rPr>
          <w:rFonts w:hint="eastAsia" w:ascii="宋体" w:hAnsi="宋体" w:eastAsia="宋体" w:cs="宋体"/>
          <w:b/>
          <w:bCs/>
          <w:color w:val="000000"/>
          <w:sz w:val="24"/>
          <w:szCs w:val="24"/>
        </w:rPr>
        <w:t>社会保险领域严重失信行为</w:t>
      </w:r>
    </w:p>
    <w:p w14:paraId="37CCE1EA">
      <w:pPr>
        <w:adjustRightInd w:val="0"/>
        <w:snapToGrid w:val="0"/>
        <w:spacing w:line="560" w:lineRule="exact"/>
        <w:ind w:left="141" w:leftChars="67" w:firstLine="360" w:firstLineChars="15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（一）用人单位未按相关规定参加社会保险且拒不整改的； </w:t>
      </w:r>
    </w:p>
    <w:p w14:paraId="39CFFF32">
      <w:pPr>
        <w:adjustRightInd w:val="0"/>
        <w:snapToGrid w:val="0"/>
        <w:spacing w:line="560" w:lineRule="exact"/>
        <w:ind w:left="141" w:leftChars="67" w:firstLine="360" w:firstLineChars="15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（二）用人单位未如实申报社会保险缴费基数且拒不整改的； </w:t>
      </w:r>
    </w:p>
    <w:p w14:paraId="0510DEAF">
      <w:pPr>
        <w:adjustRightInd w:val="0"/>
        <w:snapToGrid w:val="0"/>
        <w:spacing w:line="560" w:lineRule="exact"/>
        <w:ind w:left="141" w:leftChars="67" w:firstLine="360" w:firstLineChars="15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（三）应缴纳社会保险费却拒不缴纳的； </w:t>
      </w:r>
    </w:p>
    <w:p w14:paraId="54AF61AF">
      <w:pPr>
        <w:adjustRightInd w:val="0"/>
        <w:snapToGrid w:val="0"/>
        <w:spacing w:line="560" w:lineRule="exact"/>
        <w:ind w:left="141" w:leftChars="67" w:firstLine="360" w:firstLineChars="150"/>
        <w:jc w:val="left"/>
        <w:rPr>
          <w:rFonts w:hint="eastAsia" w:ascii="宋体" w:hAnsi="宋体" w:eastAsia="宋体" w:cs="宋体"/>
          <w:color w:val="000000"/>
          <w:sz w:val="24"/>
          <w:szCs w:val="24"/>
        </w:rPr>
      </w:pPr>
      <w:r>
        <w:rPr>
          <w:rFonts w:hint="eastAsia" w:ascii="宋体" w:hAnsi="宋体" w:eastAsia="宋体" w:cs="宋体"/>
          <w:color w:val="000000"/>
          <w:sz w:val="24"/>
          <w:szCs w:val="24"/>
        </w:rPr>
        <w:t>（四）隐匿、转移、侵占、挪用社会保险费款、基金或者违规投资运营的；</w:t>
      </w:r>
    </w:p>
    <w:p w14:paraId="5B6B4635">
      <w:pPr>
        <w:adjustRightInd w:val="0"/>
        <w:snapToGrid w:val="0"/>
        <w:spacing w:line="560" w:lineRule="exact"/>
        <w:ind w:left="141" w:leftChars="67" w:firstLine="360" w:firstLineChars="15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（五）以欺诈、伪造证明材料或者其他手段参加、申报社会保险和骗取社会保险基金支出或社会保险待遇的； </w:t>
      </w:r>
    </w:p>
    <w:p w14:paraId="0B99C020">
      <w:pPr>
        <w:adjustRightInd w:val="0"/>
        <w:snapToGrid w:val="0"/>
        <w:spacing w:line="560" w:lineRule="exact"/>
        <w:ind w:left="141" w:leftChars="67" w:firstLine="360" w:firstLineChars="15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（六）非法获取、出售或变相交易社会保险个人权益数据的； </w:t>
      </w:r>
    </w:p>
    <w:p w14:paraId="647663A7">
      <w:pPr>
        <w:adjustRightInd w:val="0"/>
        <w:snapToGrid w:val="0"/>
        <w:spacing w:line="560" w:lineRule="exact"/>
        <w:ind w:left="141" w:leftChars="67" w:firstLine="360" w:firstLineChars="15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（七）社会保险服务机构违反服务协议或相关规定的； </w:t>
      </w:r>
    </w:p>
    <w:p w14:paraId="4DFC676B">
      <w:pPr>
        <w:adjustRightInd w:val="0"/>
        <w:snapToGrid w:val="0"/>
        <w:spacing w:line="560" w:lineRule="exact"/>
        <w:ind w:left="141" w:leftChars="67" w:firstLine="360" w:firstLineChars="15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（八）拒绝协助社会保险行政部门、经办机构对事故和问题进 行调查核实的；拒绝接受或协助税务部门对社会保险实施监督检查， 不如实提供与社会保险相关各项资料的； </w:t>
      </w:r>
    </w:p>
    <w:p w14:paraId="4A024929">
      <w:pPr>
        <w:adjustRightInd w:val="0"/>
        <w:snapToGrid w:val="0"/>
        <w:spacing w:line="560" w:lineRule="exact"/>
        <w:ind w:left="141" w:leftChars="67" w:firstLine="360" w:firstLineChars="150"/>
        <w:jc w:val="left"/>
        <w:rPr>
          <w:rFonts w:hint="eastAsia" w:ascii="宋体" w:hAnsi="宋体" w:eastAsia="宋体" w:cs="宋体"/>
          <w:color w:val="000000"/>
          <w:sz w:val="24"/>
          <w:szCs w:val="24"/>
        </w:rPr>
      </w:pPr>
      <w:r>
        <w:rPr>
          <w:rFonts w:hint="eastAsia" w:ascii="宋体" w:hAnsi="宋体" w:eastAsia="宋体" w:cs="宋体"/>
          <w:color w:val="000000"/>
          <w:sz w:val="24"/>
          <w:szCs w:val="24"/>
        </w:rPr>
        <w:t>（九）其他违反法律法规规定的。</w:t>
      </w:r>
    </w:p>
    <w:p w14:paraId="5295F23C">
      <w:pPr>
        <w:adjustRightInd w:val="0"/>
        <w:snapToGrid w:val="0"/>
        <w:spacing w:line="560" w:lineRule="exact"/>
        <w:ind w:firstLine="472" w:firstLineChars="196"/>
        <w:jc w:val="left"/>
        <w:rPr>
          <w:rFonts w:hint="eastAsia" w:ascii="宋体" w:hAnsi="宋体" w:eastAsia="宋体" w:cs="宋体"/>
          <w:color w:val="000000"/>
          <w:sz w:val="24"/>
          <w:szCs w:val="24"/>
        </w:rPr>
      </w:pPr>
      <w:r>
        <w:rPr>
          <w:rFonts w:hint="eastAsia" w:ascii="宋体" w:hAnsi="宋体" w:eastAsia="宋体" w:cs="宋体"/>
          <w:b/>
          <w:color w:val="000000"/>
          <w:sz w:val="24"/>
          <w:szCs w:val="24"/>
        </w:rPr>
        <w:t>依据：《关于对社会保险领域严重失信企业及其有关人员实施联合惩戒的合作备忘录》（发改财金〔2018〕1704号）</w:t>
      </w:r>
    </w:p>
    <w:p w14:paraId="03DB772C">
      <w:pPr>
        <w:adjustRightInd w:val="0"/>
        <w:snapToGrid w:val="0"/>
        <w:spacing w:line="5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6E08C2F4">
      <w:pPr>
        <w:adjustRightInd w:val="0"/>
        <w:snapToGrid w:val="0"/>
        <w:spacing w:line="560" w:lineRule="exact"/>
        <w:ind w:firstLine="482" w:firstLineChars="200"/>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五、建筑市场领域</w:t>
      </w:r>
      <w:r>
        <w:rPr>
          <w:rFonts w:hint="eastAsia" w:ascii="宋体" w:hAnsi="宋体" w:eastAsia="宋体" w:cs="宋体"/>
          <w:b/>
          <w:bCs/>
          <w:color w:val="000000"/>
          <w:sz w:val="24"/>
          <w:szCs w:val="24"/>
        </w:rPr>
        <w:t>严重失信行为</w:t>
      </w:r>
    </w:p>
    <w:p w14:paraId="6C526A3E">
      <w:pPr>
        <w:adjustRightInd w:val="0"/>
        <w:snapToGrid w:val="0"/>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（一）利用虚假材料、以欺骗手段取得企业资质的；</w:t>
      </w:r>
    </w:p>
    <w:p w14:paraId="7481858F">
      <w:pPr>
        <w:adjustRightInd w:val="0"/>
        <w:snapToGrid w:val="0"/>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（二）发生转包、出借资质，受到行政处罚的；</w:t>
      </w:r>
    </w:p>
    <w:p w14:paraId="79D064FE">
      <w:pPr>
        <w:adjustRightInd w:val="0"/>
        <w:snapToGrid w:val="0"/>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（三）发生重大及以上工程质量安全事故，或1年内累计发生2次及以上较大工程质量安全事故，或发生性质恶劣、危害性严重、社会影响大的较大工程质量安全事故，受到行政处罚的；</w:t>
      </w:r>
    </w:p>
    <w:p w14:paraId="6F2A3AE8">
      <w:pPr>
        <w:adjustRightInd w:val="0"/>
        <w:snapToGrid w:val="0"/>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（四）经法院判决或仲裁机构裁决，认定为拖欠工程款,且拒不履行生效法律文书确定的义务的。</w:t>
      </w:r>
    </w:p>
    <w:p w14:paraId="0260A03F">
      <w:pPr>
        <w:adjustRightInd w:val="0"/>
        <w:snapToGrid w:val="0"/>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各级住房城乡建设主管部门应当参照建筑市场主体“黑名单”，对被人力资源社会保障行政部门列入拖欠农民工工资“黑名单”的建筑市场各方主体加强监管。</w:t>
      </w:r>
    </w:p>
    <w:p w14:paraId="7480659A">
      <w:pPr>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依据：《建筑市场信用管理暂行办法》（建市〔2017〕241号）</w:t>
      </w:r>
    </w:p>
    <w:p w14:paraId="7854CA27">
      <w:pPr>
        <w:adjustRightInd w:val="0"/>
        <w:snapToGrid w:val="0"/>
        <w:spacing w:line="560" w:lineRule="exact"/>
        <w:rPr>
          <w:rFonts w:hint="eastAsia" w:ascii="宋体" w:hAnsi="宋体" w:eastAsia="宋体" w:cs="宋体"/>
          <w:b/>
          <w:color w:val="000000"/>
          <w:sz w:val="24"/>
          <w:szCs w:val="24"/>
        </w:rPr>
      </w:pPr>
    </w:p>
    <w:p w14:paraId="385677A8">
      <w:pPr>
        <w:adjustRightInd w:val="0"/>
        <w:snapToGrid w:val="0"/>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六、政府采购严重失信行为</w:t>
      </w:r>
    </w:p>
    <w:p w14:paraId="454C6B37">
      <w:pPr>
        <w:adjustRightInd w:val="0"/>
        <w:snapToGrid w:val="0"/>
        <w:spacing w:line="560" w:lineRule="exact"/>
        <w:ind w:firstLine="615"/>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供应商、采购代理机构在三年内受到财政部门作出下列情形之一的行政处罚，列入政府采购严重违法失信行为记录名单。</w:t>
      </w:r>
    </w:p>
    <w:p w14:paraId="49900045">
      <w:pPr>
        <w:adjustRightInd w:val="0"/>
        <w:snapToGrid w:val="0"/>
        <w:spacing w:line="560" w:lineRule="exact"/>
        <w:ind w:firstLine="615"/>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（一）三万元以上罚款；</w:t>
      </w:r>
    </w:p>
    <w:p w14:paraId="0ECA1FD9">
      <w:pPr>
        <w:adjustRightInd w:val="0"/>
        <w:snapToGrid w:val="0"/>
        <w:spacing w:line="560" w:lineRule="exact"/>
        <w:ind w:firstLine="615"/>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（二）在一至三年内禁止参加政府采购活动（处罚期限届满的除外）；</w:t>
      </w:r>
    </w:p>
    <w:p w14:paraId="68BEA780">
      <w:pPr>
        <w:adjustRightInd w:val="0"/>
        <w:snapToGrid w:val="0"/>
        <w:spacing w:line="560" w:lineRule="exact"/>
        <w:ind w:firstLine="615"/>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（三）在一至三年内禁止代理政府采购业务（处罚期限届满的除外）；</w:t>
      </w:r>
    </w:p>
    <w:p w14:paraId="6E5A9D2B">
      <w:pPr>
        <w:adjustRightInd w:val="0"/>
        <w:snapToGrid w:val="0"/>
        <w:spacing w:line="560" w:lineRule="exact"/>
        <w:ind w:firstLine="615"/>
        <w:rPr>
          <w:rFonts w:hint="eastAsia" w:ascii="宋体" w:hAnsi="宋体" w:eastAsia="宋体" w:cs="宋体"/>
          <w:color w:val="000000"/>
          <w:sz w:val="24"/>
          <w:szCs w:val="24"/>
        </w:rPr>
      </w:pPr>
      <w:r>
        <w:rPr>
          <w:rFonts w:hint="eastAsia" w:ascii="宋体" w:hAnsi="宋体" w:eastAsia="宋体" w:cs="宋体"/>
          <w:color w:val="000000"/>
          <w:sz w:val="24"/>
          <w:szCs w:val="24"/>
        </w:rPr>
        <w:t>　 （四）撤销政府采购代理机构资格（仅针对《政府采购法》第78条修改前作出的处罚决定）。</w:t>
      </w:r>
    </w:p>
    <w:p w14:paraId="129B940B">
      <w:pPr>
        <w:adjustRightInd w:val="0"/>
        <w:snapToGrid w:val="0"/>
        <w:spacing w:line="56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依据：《关于报送政府采购严重违法失信行为信息记录的通知》（财办库〔2014〕526号）</w:t>
      </w:r>
    </w:p>
    <w:p w14:paraId="136CF629">
      <w:pPr>
        <w:adjustRightInd w:val="0"/>
        <w:snapToGrid w:val="0"/>
        <w:spacing w:line="560" w:lineRule="exact"/>
        <w:ind w:firstLine="482" w:firstLineChars="200"/>
        <w:rPr>
          <w:rFonts w:hint="eastAsia" w:ascii="宋体" w:hAnsi="宋体" w:eastAsia="宋体" w:cs="宋体"/>
          <w:b/>
          <w:color w:val="000000"/>
          <w:sz w:val="24"/>
          <w:szCs w:val="24"/>
        </w:rPr>
      </w:pPr>
    </w:p>
    <w:p w14:paraId="2DFC4C0A">
      <w:pPr>
        <w:adjustRightInd w:val="0"/>
        <w:snapToGrid w:val="0"/>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七、水利建设领域严重失信行为</w:t>
      </w:r>
    </w:p>
    <w:p w14:paraId="1FB7488E">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（一）1年内不良行为记录累计扣分达到20分的；</w:t>
      </w:r>
    </w:p>
    <w:p w14:paraId="24C7903D">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（二）"重点关注名单"公开期满后仍不整改的；</w:t>
      </w:r>
    </w:p>
    <w:p w14:paraId="3AEBBE93">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（三）存在以下严重危害人民群众身体健康、生命安全和工程质量，以及特别严重违规行为之一的：</w:t>
      </w:r>
    </w:p>
    <w:p w14:paraId="10C3DE07">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1.发生重大、特大质量或安全事故，并负有直接责任的；</w:t>
      </w:r>
    </w:p>
    <w:p w14:paraId="6495FC4F">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2.在单位公开信息、工程相关技术成果和工程建设过程中隐瞒真实情况、弄虚作假，提供虚假材料，谋取不正当利益的；</w:t>
      </w:r>
    </w:p>
    <w:p w14:paraId="6A900313">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3.违反有关法律、法规、规章、政策、技术标准、设计文件、合同等有关规定开展工作造成的工程质量问题，经处理后仍影响工程正常使用或减少工程使用寿命的；</w:t>
      </w:r>
    </w:p>
    <w:p w14:paraId="3FBA9A2E">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4.违反规定施工，造成生态环境严重破坏且拒不修复的；</w:t>
      </w:r>
    </w:p>
    <w:p w14:paraId="4AF78C4E">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5.被证实恶意制造工程质量缺陷或质量隐患的；</w:t>
      </w:r>
    </w:p>
    <w:p w14:paraId="7964549A">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6.其他违反法律法规，造成严重后果或社会危害较大的。</w:t>
      </w:r>
    </w:p>
    <w:p w14:paraId="5A88DAA6">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（四）存在以下严重破坏市场公平竞争秩序和社会正常秩序行为之一的：</w:t>
      </w:r>
    </w:p>
    <w:p w14:paraId="61A5380C">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1.不按合同约定，恶意拖欠承包人项目款的；</w:t>
      </w:r>
    </w:p>
    <w:p w14:paraId="7FABDE51">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2.隐瞒有关情况或者提供虚假材料申请资质的，在全国水利建设市场监管服务平台公开虚假信息的，以欺骗、贿赂等不正当手段取得资质等级证书的；</w:t>
      </w:r>
    </w:p>
    <w:p w14:paraId="53A5612A">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3.出借、借用资质证书,允许他人以本单位名义或借用他人名义等弄虚作假方式承揽业务的；</w:t>
      </w:r>
    </w:p>
    <w:p w14:paraId="5221C1D6">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4.未取得相应资质或超越资质证书核定范围、营业范围承揽业务的；</w:t>
      </w:r>
    </w:p>
    <w:p w14:paraId="4E8B7AEF">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5.操纵招标过程，谋取不正当利益的；</w:t>
      </w:r>
    </w:p>
    <w:p w14:paraId="62B839D4">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6.与招标人或投标人串通投标的；</w:t>
      </w:r>
    </w:p>
    <w:p w14:paraId="61AE08B0">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7.以向招标人或评标委员会成员行贿的手段谋取中标的；</w:t>
      </w:r>
    </w:p>
    <w:p w14:paraId="4AAE08F7">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8.中标后，无正当理由不签订合同的；</w:t>
      </w:r>
    </w:p>
    <w:p w14:paraId="42D60B47">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9.转包或违法分包所承揽业务的；</w:t>
      </w:r>
    </w:p>
    <w:p w14:paraId="0AFECAD4">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10.弄虚作假，以欺诈手段降低工程或设备质量的；</w:t>
      </w:r>
    </w:p>
    <w:p w14:paraId="3AA17EEF">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11.单位行贿、受贿，受到刑事处罚的；</w:t>
      </w:r>
    </w:p>
    <w:p w14:paraId="3E8B8DEE">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12.逃税骗税、恶意逃废债务的；</w:t>
      </w:r>
    </w:p>
    <w:p w14:paraId="2369ADCF">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13.参与非法集资，受到刑事处罚的；</w:t>
      </w:r>
    </w:p>
    <w:p w14:paraId="2B8C68EF">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14.在签订、履行合同过程中，存在合同欺诈行为，受到刑事处罚的；</w:t>
      </w:r>
    </w:p>
    <w:p w14:paraId="1EB36986">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15.虚构工程项目，套取资金的；</w:t>
      </w:r>
    </w:p>
    <w:p w14:paraId="1BBB27A9">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16.克扣、无故拖欠农民工工资报酬，数额达到认定拒不支付劳动报酬罪数额标准的；</w:t>
      </w:r>
    </w:p>
    <w:p w14:paraId="31A0B8F9">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17.发生社会公共事件，影响较大，并负有直接责任的。</w:t>
      </w:r>
    </w:p>
    <w:p w14:paraId="5AD3DD03">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（五）存在以下拒不履行法定义务，严重影响司法机关、行政机关公信力行为之一的：</w:t>
      </w:r>
    </w:p>
    <w:p w14:paraId="635B1DA6">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1.发生事故拒绝接受调查或拒绝提供有关资料的；</w:t>
      </w:r>
    </w:p>
    <w:p w14:paraId="6A359D8D">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2.拒不执行生效的行政处罚决定的；</w:t>
      </w:r>
    </w:p>
    <w:p w14:paraId="69EFBF6C">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3.拒不执行仲裁、法院判决结果的。</w:t>
      </w:r>
    </w:p>
    <w:p w14:paraId="08719628">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（六）被相关联合惩戒部门列入"黑名单"，符合联合惩戒措施的。</w:t>
      </w:r>
    </w:p>
    <w:p w14:paraId="6C804509">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生产建设项目水土保持市场主体"黑名单"列入标准见《水利建设市场主体信用信息管理办法》附件。</w:t>
      </w:r>
    </w:p>
    <w:p w14:paraId="1B470847">
      <w:pPr>
        <w:adjustRightInd w:val="0"/>
        <w:snapToGrid w:val="0"/>
        <w:spacing w:line="560" w:lineRule="exact"/>
        <w:ind w:firstLine="615"/>
        <w:rPr>
          <w:rFonts w:hint="eastAsia" w:ascii="宋体" w:hAnsi="宋体" w:eastAsia="宋体" w:cs="宋体"/>
          <w:color w:val="000000"/>
          <w:sz w:val="24"/>
          <w:szCs w:val="24"/>
        </w:rPr>
      </w:pPr>
      <w:r>
        <w:rPr>
          <w:rFonts w:hint="eastAsia" w:ascii="宋体" w:hAnsi="宋体" w:eastAsia="宋体" w:cs="宋体"/>
          <w:color w:val="000000"/>
          <w:sz w:val="24"/>
          <w:szCs w:val="24"/>
        </w:rPr>
        <w:t>依据：《水利建设市场主体信用评价管理办法》水建设〔2019〕307号、《水利建设市场主体信用信息管理办法》水建设〔2019〕306号</w:t>
      </w:r>
    </w:p>
    <w:p w14:paraId="67A1C1FF">
      <w:pPr>
        <w:adjustRightInd w:val="0"/>
        <w:snapToGrid w:val="0"/>
        <w:spacing w:line="560" w:lineRule="exact"/>
        <w:ind w:firstLine="615"/>
        <w:rPr>
          <w:rFonts w:hint="eastAsia" w:ascii="宋体" w:hAnsi="宋体" w:eastAsia="宋体" w:cs="宋体"/>
          <w:b/>
          <w:color w:val="000000"/>
          <w:sz w:val="24"/>
          <w:szCs w:val="24"/>
        </w:rPr>
      </w:pPr>
    </w:p>
    <w:p w14:paraId="7BC85502">
      <w:pPr>
        <w:adjustRightInd w:val="0"/>
        <w:snapToGrid w:val="0"/>
        <w:spacing w:line="560" w:lineRule="exact"/>
        <w:ind w:firstLine="615"/>
        <w:rPr>
          <w:rFonts w:hint="eastAsia" w:ascii="宋体" w:hAnsi="宋体" w:eastAsia="宋体" w:cs="宋体"/>
          <w:b/>
          <w:color w:val="000000"/>
          <w:sz w:val="24"/>
          <w:szCs w:val="24"/>
        </w:rPr>
      </w:pPr>
      <w:r>
        <w:rPr>
          <w:rFonts w:hint="eastAsia" w:ascii="宋体" w:hAnsi="宋体" w:eastAsia="宋体" w:cs="宋体"/>
          <w:b/>
          <w:color w:val="000000"/>
          <w:sz w:val="24"/>
          <w:szCs w:val="24"/>
        </w:rPr>
        <w:t>未列出的其他类别严重失信行为，由招标人（代理机构）根据各类别行业主管部门下发的联合惩戒文件进行判断。</w:t>
      </w:r>
    </w:p>
    <w:p w14:paraId="0AD8FBBC">
      <w:pPr>
        <w:spacing w:line="440" w:lineRule="exact"/>
        <w:jc w:val="center"/>
        <w:outlineLvl w:val="0"/>
        <w:rPr>
          <w:rFonts w:hint="eastAsia" w:ascii="宋体"/>
          <w:b/>
          <w:color w:val="auto"/>
          <w:sz w:val="32"/>
          <w:szCs w:val="32"/>
          <w:highlight w:val="none"/>
        </w:rPr>
      </w:pPr>
    </w:p>
    <w:p w14:paraId="1BE20EEE">
      <w:pPr>
        <w:spacing w:line="440" w:lineRule="exact"/>
        <w:jc w:val="center"/>
        <w:outlineLvl w:val="0"/>
        <w:rPr>
          <w:rFonts w:hint="eastAsia" w:ascii="宋体"/>
          <w:b/>
          <w:color w:val="auto"/>
          <w:sz w:val="32"/>
          <w:szCs w:val="32"/>
          <w:highlight w:val="none"/>
        </w:rPr>
      </w:pPr>
    </w:p>
    <w:p w14:paraId="4E29F110">
      <w:pPr>
        <w:spacing w:line="440" w:lineRule="exact"/>
        <w:jc w:val="center"/>
        <w:outlineLvl w:val="0"/>
        <w:rPr>
          <w:rFonts w:hint="eastAsia" w:ascii="宋体"/>
          <w:b/>
          <w:color w:val="auto"/>
          <w:sz w:val="32"/>
          <w:szCs w:val="32"/>
          <w:highlight w:val="none"/>
        </w:rPr>
      </w:pPr>
    </w:p>
    <w:p w14:paraId="7082677C">
      <w:pPr>
        <w:pStyle w:val="6"/>
        <w:spacing w:before="0" w:after="0"/>
        <w:rPr>
          <w:rFonts w:hint="eastAsia" w:ascii="宋体" w:hAnsi="宋体" w:eastAsia="宋体" w:cs="宋体"/>
          <w:color w:val="auto"/>
          <w:highlight w:val="none"/>
          <w:lang w:val="en-US" w:eastAsia="zh-CN"/>
        </w:rPr>
      </w:pPr>
    </w:p>
    <w:p w14:paraId="0576A2F2">
      <w:pPr>
        <w:rPr>
          <w:rFonts w:hint="eastAsia" w:ascii="宋体" w:hAnsi="宋体" w:eastAsia="宋体" w:cs="宋体"/>
          <w:color w:val="auto"/>
          <w:highlight w:val="none"/>
          <w:lang w:val="en-US" w:eastAsia="zh-CN"/>
        </w:rPr>
      </w:pPr>
    </w:p>
    <w:p w14:paraId="180E4110">
      <w:pPr>
        <w:pStyle w:val="2"/>
        <w:rPr>
          <w:rFonts w:hint="eastAsia" w:ascii="宋体" w:hAnsi="宋体" w:eastAsia="宋体" w:cs="宋体"/>
          <w:color w:val="auto"/>
          <w:highlight w:val="none"/>
          <w:lang w:val="en-US" w:eastAsia="zh-CN"/>
        </w:rPr>
      </w:pPr>
    </w:p>
    <w:p w14:paraId="0CCB902E">
      <w:pPr>
        <w:rPr>
          <w:rFonts w:hint="eastAsia" w:ascii="宋体" w:hAnsi="宋体" w:eastAsia="宋体" w:cs="宋体"/>
          <w:color w:val="auto"/>
          <w:highlight w:val="none"/>
          <w:lang w:val="en-US" w:eastAsia="zh-CN"/>
        </w:rPr>
      </w:pPr>
    </w:p>
    <w:p w14:paraId="0742C4B7">
      <w:pPr>
        <w:pStyle w:val="2"/>
        <w:rPr>
          <w:rFonts w:hint="eastAsia" w:ascii="宋体" w:hAnsi="宋体" w:eastAsia="宋体" w:cs="宋体"/>
          <w:color w:val="auto"/>
          <w:highlight w:val="none"/>
          <w:lang w:val="en-US" w:eastAsia="zh-CN"/>
        </w:rPr>
      </w:pPr>
    </w:p>
    <w:p w14:paraId="2E889F80">
      <w:pPr>
        <w:rPr>
          <w:rFonts w:hint="eastAsia" w:ascii="宋体" w:hAnsi="宋体" w:eastAsia="宋体" w:cs="宋体"/>
          <w:color w:val="auto"/>
          <w:highlight w:val="none"/>
          <w:lang w:val="en-US" w:eastAsia="zh-CN"/>
        </w:rPr>
      </w:pPr>
    </w:p>
    <w:p w14:paraId="09F94144">
      <w:pPr>
        <w:pStyle w:val="2"/>
        <w:rPr>
          <w:rFonts w:hint="eastAsia" w:ascii="宋体" w:hAnsi="宋体" w:eastAsia="宋体" w:cs="宋体"/>
          <w:color w:val="auto"/>
          <w:highlight w:val="none"/>
          <w:lang w:val="en-US" w:eastAsia="zh-CN"/>
        </w:rPr>
      </w:pPr>
    </w:p>
    <w:p w14:paraId="7293EBD8">
      <w:pPr>
        <w:rPr>
          <w:rFonts w:hint="eastAsia" w:ascii="宋体" w:hAnsi="宋体" w:eastAsia="宋体" w:cs="宋体"/>
          <w:color w:val="auto"/>
          <w:highlight w:val="none"/>
          <w:lang w:val="en-US" w:eastAsia="zh-CN"/>
        </w:rPr>
      </w:pPr>
    </w:p>
    <w:p w14:paraId="3F3D3354">
      <w:pPr>
        <w:pStyle w:val="2"/>
        <w:rPr>
          <w:rFonts w:hint="eastAsia" w:ascii="宋体" w:hAnsi="宋体" w:eastAsia="宋体" w:cs="宋体"/>
          <w:color w:val="auto"/>
          <w:highlight w:val="none"/>
          <w:lang w:val="en-US" w:eastAsia="zh-CN"/>
        </w:rPr>
      </w:pPr>
    </w:p>
    <w:p w14:paraId="792F85CD">
      <w:pPr>
        <w:rPr>
          <w:rFonts w:hint="eastAsia" w:ascii="宋体" w:hAnsi="宋体" w:eastAsia="宋体" w:cs="宋体"/>
          <w:color w:val="auto"/>
          <w:highlight w:val="none"/>
          <w:lang w:val="en-US" w:eastAsia="zh-CN"/>
        </w:rPr>
      </w:pPr>
    </w:p>
    <w:p w14:paraId="171547EE">
      <w:pPr>
        <w:pStyle w:val="2"/>
        <w:rPr>
          <w:rFonts w:hint="eastAsia"/>
          <w:lang w:val="en-US" w:eastAsia="zh-CN"/>
        </w:rPr>
      </w:pPr>
    </w:p>
    <w:p w14:paraId="7B831704">
      <w:pPr>
        <w:pStyle w:val="6"/>
        <w:spacing w:before="0" w:after="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第六章招标单位、招标代理机构对本招标文件的确认</w:t>
      </w:r>
      <w:bookmarkEnd w:id="27"/>
    </w:p>
    <w:tbl>
      <w:tblPr>
        <w:tblStyle w:val="4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14:paraId="0D66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456" w:type="dxa"/>
          </w:tcPr>
          <w:p w14:paraId="609A71F2">
            <w:pPr>
              <w:spacing w:line="320" w:lineRule="atLeast"/>
              <w:ind w:firstLine="560" w:firstLineChars="200"/>
              <w:rPr>
                <w:rFonts w:ascii="仿宋" w:hAnsi="仿宋" w:eastAsia="仿宋" w:cs="仿宋"/>
                <w:color w:val="auto"/>
                <w:sz w:val="28"/>
                <w:szCs w:val="28"/>
                <w:highlight w:val="none"/>
              </w:rPr>
            </w:pPr>
          </w:p>
          <w:p w14:paraId="71A6193D">
            <w:pPr>
              <w:spacing w:line="32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我单位对</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亭城玺悦里项目沙盘、品牌墙制作采购</w:t>
            </w:r>
            <w:r>
              <w:rPr>
                <w:rFonts w:hint="eastAsia" w:ascii="仿宋" w:hAnsi="仿宋" w:eastAsia="仿宋" w:cs="仿宋"/>
                <w:color w:val="auto"/>
                <w:sz w:val="28"/>
                <w:szCs w:val="28"/>
                <w:highlight w:val="none"/>
              </w:rPr>
              <w:t>的招标文件进行确认。</w:t>
            </w:r>
          </w:p>
          <w:p w14:paraId="6BCAA8FC">
            <w:pPr>
              <w:spacing w:line="320" w:lineRule="atLeast"/>
              <w:ind w:firstLine="560" w:firstLineChars="200"/>
              <w:rPr>
                <w:rFonts w:ascii="仿宋" w:hAnsi="仿宋" w:eastAsia="仿宋" w:cs="仿宋"/>
                <w:color w:val="auto"/>
                <w:sz w:val="28"/>
                <w:szCs w:val="28"/>
                <w:highlight w:val="none"/>
              </w:rPr>
            </w:pPr>
          </w:p>
          <w:p w14:paraId="22267D0E">
            <w:pPr>
              <w:spacing w:line="32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招标人：滁州市鑫鼎城市更新建设运营有限公司 </w:t>
            </w:r>
          </w:p>
          <w:p w14:paraId="336BE901">
            <w:pPr>
              <w:spacing w:line="320" w:lineRule="atLeas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联系人：朱思瑶</w:t>
            </w:r>
            <w:r>
              <w:rPr>
                <w:rFonts w:hint="eastAsia" w:ascii="仿宋" w:hAnsi="仿宋" w:eastAsia="仿宋" w:cs="仿宋"/>
                <w:color w:val="auto"/>
                <w:sz w:val="28"/>
                <w:szCs w:val="28"/>
                <w:highlight w:val="none"/>
                <w:lang w:val="en-US" w:eastAsia="zh-CN"/>
              </w:rPr>
              <w:t xml:space="preserve"> </w:t>
            </w:r>
          </w:p>
          <w:p w14:paraId="2372AB45">
            <w:pPr>
              <w:spacing w:line="32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联系方式：19955068262   </w:t>
            </w:r>
          </w:p>
          <w:p w14:paraId="2C0B8F08">
            <w:pPr>
              <w:spacing w:line="500" w:lineRule="exact"/>
              <w:ind w:firstLine="281" w:firstLineChars="100"/>
              <w:rPr>
                <w:rFonts w:ascii="仿宋" w:hAnsi="仿宋" w:eastAsia="仿宋" w:cs="仿宋"/>
                <w:b/>
                <w:bCs/>
                <w:color w:val="auto"/>
                <w:sz w:val="28"/>
                <w:szCs w:val="28"/>
                <w:highlight w:val="none"/>
              </w:rPr>
            </w:pPr>
          </w:p>
          <w:p w14:paraId="2FFC71C8">
            <w:pPr>
              <w:spacing w:line="500" w:lineRule="exact"/>
              <w:ind w:firstLine="280" w:firstLineChars="100"/>
              <w:rPr>
                <w:rFonts w:ascii="仿宋" w:hAnsi="仿宋" w:eastAsia="仿宋" w:cs="仿宋"/>
                <w:color w:val="auto"/>
                <w:sz w:val="28"/>
                <w:szCs w:val="28"/>
                <w:highlight w:val="none"/>
              </w:rPr>
            </w:pP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（单位盖章）</w:t>
            </w:r>
          </w:p>
          <w:p w14:paraId="0C38C1C4">
            <w:pPr>
              <w:ind w:firstLine="5320" w:firstLineChars="1900"/>
              <w:rPr>
                <w:rFonts w:hint="eastAsia" w:ascii="仿宋" w:hAnsi="仿宋" w:eastAsia="仿宋" w:cs="仿宋"/>
                <w:color w:val="auto"/>
                <w:sz w:val="28"/>
                <w:szCs w:val="28"/>
                <w:highlight w:val="none"/>
                <w:lang w:val="en-US" w:eastAsia="zh-CN"/>
              </w:rPr>
            </w:pPr>
            <w:r>
              <w:rPr>
                <w:rFonts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29日</w:t>
            </w:r>
          </w:p>
        </w:tc>
      </w:tr>
      <w:tr w14:paraId="5889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1" w:hRule="atLeast"/>
        </w:trPr>
        <w:tc>
          <w:tcPr>
            <w:tcW w:w="9456" w:type="dxa"/>
          </w:tcPr>
          <w:p w14:paraId="617C5C0C">
            <w:pPr>
              <w:spacing w:line="320" w:lineRule="atLeast"/>
              <w:ind w:firstLine="560" w:firstLineChars="200"/>
              <w:rPr>
                <w:rFonts w:ascii="仿宋" w:hAnsi="仿宋" w:eastAsia="仿宋" w:cs="仿宋"/>
                <w:color w:val="auto"/>
                <w:sz w:val="28"/>
                <w:szCs w:val="28"/>
                <w:highlight w:val="none"/>
              </w:rPr>
            </w:pPr>
          </w:p>
          <w:p w14:paraId="7813A2C1">
            <w:pPr>
              <w:spacing w:line="32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招标代理机构：滁州市城投工程咨询管理有限公司</w:t>
            </w:r>
          </w:p>
          <w:p w14:paraId="523E3FCC">
            <w:pPr>
              <w:spacing w:line="32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田甜</w:t>
            </w:r>
            <w:r>
              <w:rPr>
                <w:rFonts w:ascii="仿宋" w:hAnsi="仿宋" w:eastAsia="仿宋" w:cs="仿宋"/>
                <w:color w:val="auto"/>
                <w:sz w:val="28"/>
                <w:szCs w:val="28"/>
                <w:highlight w:val="none"/>
              </w:rPr>
              <w:t xml:space="preserve"> </w:t>
            </w:r>
          </w:p>
          <w:p w14:paraId="295DA9C5">
            <w:pPr>
              <w:spacing w:line="320" w:lineRule="atLeas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ascii="仿宋" w:hAnsi="仿宋" w:eastAsia="仿宋" w:cs="仿宋"/>
                <w:color w:val="auto"/>
                <w:sz w:val="28"/>
                <w:szCs w:val="28"/>
                <w:highlight w:val="none"/>
              </w:rPr>
              <w:t xml:space="preserve"> 0550-35195</w:t>
            </w:r>
            <w:r>
              <w:rPr>
                <w:rFonts w:hint="eastAsia" w:ascii="仿宋" w:hAnsi="仿宋" w:eastAsia="仿宋" w:cs="仿宋"/>
                <w:color w:val="auto"/>
                <w:sz w:val="28"/>
                <w:szCs w:val="28"/>
                <w:highlight w:val="none"/>
                <w:lang w:val="en-US" w:eastAsia="zh-CN"/>
              </w:rPr>
              <w:t>19</w:t>
            </w:r>
            <w:r>
              <w:rPr>
                <w:rFonts w:ascii="仿宋" w:hAnsi="仿宋" w:eastAsia="仿宋" w:cs="仿宋"/>
                <w:color w:val="auto"/>
                <w:sz w:val="28"/>
                <w:szCs w:val="28"/>
                <w:highlight w:val="none"/>
              </w:rPr>
              <w:t xml:space="preserve">   1</w:t>
            </w:r>
            <w:r>
              <w:rPr>
                <w:rFonts w:hint="eastAsia" w:ascii="仿宋" w:hAnsi="仿宋" w:eastAsia="仿宋" w:cs="仿宋"/>
                <w:color w:val="auto"/>
                <w:sz w:val="28"/>
                <w:szCs w:val="28"/>
                <w:highlight w:val="none"/>
                <w:lang w:val="en-US" w:eastAsia="zh-CN"/>
              </w:rPr>
              <w:t>5955005370</w:t>
            </w:r>
          </w:p>
          <w:p w14:paraId="63287A9C">
            <w:pPr>
              <w:rPr>
                <w:rFonts w:ascii="仿宋" w:hAnsi="仿宋" w:eastAsia="仿宋" w:cs="仿宋"/>
                <w:color w:val="auto"/>
                <w:sz w:val="28"/>
                <w:szCs w:val="28"/>
                <w:highlight w:val="none"/>
              </w:rPr>
            </w:pPr>
          </w:p>
          <w:p w14:paraId="2B015B3C">
            <w:pPr>
              <w:ind w:firstLine="5040" w:firstLineChars="1800"/>
              <w:rPr>
                <w:rFonts w:ascii="仿宋" w:hAnsi="仿宋" w:eastAsia="仿宋" w:cs="仿宋"/>
                <w:color w:val="auto"/>
                <w:sz w:val="28"/>
                <w:szCs w:val="28"/>
                <w:highlight w:val="none"/>
              </w:rPr>
            </w:pP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（单位盖章）</w:t>
            </w:r>
          </w:p>
          <w:p w14:paraId="7D554838">
            <w:pPr>
              <w:ind w:firstLine="4900" w:firstLineChars="1750"/>
              <w:rPr>
                <w:rFonts w:hint="default" w:ascii="仿宋" w:hAnsi="仿宋" w:eastAsia="仿宋" w:cs="仿宋"/>
                <w:color w:val="auto"/>
                <w:sz w:val="28"/>
                <w:szCs w:val="28"/>
                <w:highlight w:val="none"/>
                <w:lang w:val="en-US" w:eastAsia="zh-CN"/>
              </w:rPr>
            </w:pPr>
            <w:r>
              <w:rPr>
                <w:rFonts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29日</w:t>
            </w:r>
          </w:p>
        </w:tc>
      </w:tr>
    </w:tbl>
    <w:p w14:paraId="44BD7D84">
      <w:pPr>
        <w:pStyle w:val="20"/>
        <w:jc w:val="left"/>
        <w:rPr>
          <w:rFonts w:ascii="仿宋" w:hAnsi="仿宋" w:eastAsia="仿宋" w:cs="仿宋"/>
          <w:color w:val="auto"/>
          <w:kern w:val="0"/>
          <w:sz w:val="24"/>
          <w:szCs w:val="24"/>
          <w:highlight w:val="none"/>
        </w:rPr>
      </w:pPr>
    </w:p>
    <w:p w14:paraId="6C54CF80">
      <w:pPr>
        <w:pStyle w:val="20"/>
        <w:jc w:val="left"/>
        <w:rPr>
          <w:rFonts w:ascii="仿宋" w:hAnsi="仿宋" w:eastAsia="仿宋" w:cs="仿宋"/>
          <w:color w:val="auto"/>
          <w:kern w:val="0"/>
          <w:sz w:val="24"/>
          <w:szCs w:val="24"/>
          <w:highlight w:val="none"/>
        </w:rPr>
      </w:pPr>
    </w:p>
    <w:p w14:paraId="60773A3D">
      <w:pPr>
        <w:pStyle w:val="20"/>
        <w:jc w:val="left"/>
        <w:rPr>
          <w:rFonts w:ascii="仿宋" w:hAnsi="仿宋" w:eastAsia="仿宋" w:cs="仿宋"/>
          <w:color w:val="auto"/>
          <w:kern w:val="0"/>
          <w:sz w:val="24"/>
          <w:szCs w:val="24"/>
          <w:highlight w:val="none"/>
        </w:rPr>
      </w:pPr>
    </w:p>
    <w:p w14:paraId="17A6D1D6">
      <w:pPr>
        <w:pStyle w:val="20"/>
        <w:jc w:val="left"/>
        <w:rPr>
          <w:rFonts w:ascii="仿宋" w:hAnsi="仿宋" w:eastAsia="仿宋" w:cs="仿宋"/>
          <w:color w:val="auto"/>
          <w:kern w:val="0"/>
          <w:sz w:val="24"/>
          <w:szCs w:val="24"/>
          <w:highlight w:val="none"/>
        </w:rPr>
      </w:pPr>
    </w:p>
    <w:p w14:paraId="3CA9FB13">
      <w:pPr>
        <w:pStyle w:val="20"/>
        <w:jc w:val="left"/>
        <w:rPr>
          <w:rFonts w:ascii="仿宋" w:hAnsi="仿宋" w:eastAsia="仿宋" w:cs="仿宋"/>
          <w:color w:val="auto"/>
          <w:kern w:val="0"/>
          <w:sz w:val="24"/>
          <w:szCs w:val="24"/>
          <w:highlight w:val="none"/>
        </w:rPr>
      </w:pPr>
    </w:p>
    <w:p w14:paraId="7F11214D">
      <w:pPr>
        <w:pStyle w:val="20"/>
        <w:jc w:val="left"/>
        <w:rPr>
          <w:rFonts w:ascii="仿宋" w:hAnsi="仿宋" w:eastAsia="仿宋" w:cs="仿宋"/>
          <w:color w:val="auto"/>
          <w:kern w:val="0"/>
          <w:sz w:val="24"/>
          <w:szCs w:val="24"/>
          <w:highlight w:val="none"/>
        </w:rPr>
      </w:pPr>
    </w:p>
    <w:p w14:paraId="71B6AB7A">
      <w:pPr>
        <w:pStyle w:val="20"/>
        <w:jc w:val="left"/>
        <w:rPr>
          <w:rFonts w:hint="eastAsia" w:ascii="仿宋" w:hAnsi="仿宋" w:eastAsia="仿宋" w:cs="仿宋"/>
          <w:color w:val="auto"/>
          <w:kern w:val="0"/>
          <w:sz w:val="24"/>
          <w:szCs w:val="24"/>
          <w:highlight w:val="none"/>
          <w:lang w:eastAsia="zh-CN"/>
        </w:rPr>
      </w:pPr>
    </w:p>
    <w:sectPr>
      <w:pgSz w:w="11906" w:h="16838"/>
      <w:pgMar w:top="935" w:right="1106" w:bottom="935" w:left="1259" w:header="680" w:footer="680"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65A2">
    <w:pPr>
      <w:pStyle w:val="31"/>
      <w:rPr>
        <w:rStyle w:val="51"/>
      </w:rPr>
    </w:pPr>
  </w:p>
  <w:p w14:paraId="3E6D9677">
    <w:pPr>
      <w:pStyle w:val="31"/>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2F776850"/>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2F776850"/>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24259">
    <w:pPr>
      <w:pStyle w:val="31"/>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01673">
    <w:pPr>
      <w:pStyle w:val="31"/>
      <w:rPr>
        <w:rStyle w:val="51"/>
      </w:rPr>
    </w:pPr>
  </w:p>
  <w:p w14:paraId="32817923">
    <w:pPr>
      <w:pStyle w:val="31"/>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3B104808"/>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3B104808"/>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C2231">
    <w:pPr>
      <w:pStyle w:val="31"/>
      <w:tabs>
        <w:tab w:val="center" w:pos="7483"/>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7CD8CC">
                          <w:pPr>
                            <w:pStyle w:val="31"/>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367CD8CC">
                    <w:pPr>
                      <w:pStyle w:val="31"/>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152D7">
    <w:pPr>
      <w:pStyle w:val="3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AE7D7A">
                          <w:pPr>
                            <w:pStyle w:val="3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25AE7D7A">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1D27D331">
    <w:pPr>
      <w:pStyle w:val="31"/>
      <w:jc w:val="center"/>
      <w:rPr>
        <w:color w:val="FFFFFF"/>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1688C">
    <w:pPr>
      <w:pStyle w:val="31"/>
      <w:rPr>
        <w:rStyle w:val="51"/>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618AB">
                          <w:pPr>
                            <w:pStyle w:val="3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29618AB">
                    <w:pPr>
                      <w:pStyle w:val="31"/>
                    </w:pPr>
                    <w:r>
                      <w:fldChar w:fldCharType="begin"/>
                    </w:r>
                    <w:r>
                      <w:instrText xml:space="preserve"> PAGE  \* MERGEFORMAT </w:instrText>
                    </w:r>
                    <w:r>
                      <w:fldChar w:fldCharType="separate"/>
                    </w:r>
                    <w:r>
                      <w:t>19</w:t>
                    </w:r>
                    <w:r>
                      <w:fldChar w:fldCharType="end"/>
                    </w:r>
                  </w:p>
                </w:txbxContent>
              </v:textbox>
            </v:shape>
          </w:pict>
        </mc:Fallback>
      </mc:AlternateContent>
    </w:r>
  </w:p>
  <w:p w14:paraId="4B57B5FD">
    <w:pPr>
      <w:pStyle w:val="31"/>
      <w:ind w:right="360"/>
      <w:rPr>
        <w:kern w:val="0"/>
      </w:rPr>
    </w:pPr>
    <w:r>
      <mc:AlternateContent>
        <mc:Choice Requires="wps">
          <w:drawing>
            <wp:anchor distT="0" distB="0" distL="114300" distR="114300" simplePos="0" relativeHeight="251662336"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F9B7837"/>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2336;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1F9B7837"/>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F778">
    <w:pPr>
      <w:pStyle w:val="32"/>
      <w:pBdr>
        <w:bottom w:val="none" w:color="auto" w:sz="0" w:space="0"/>
      </w:pBdr>
    </w:pP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2E6D">
    <w:pPr>
      <w:pStyle w:val="3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YTFmZDFmMTFjY2NkMGUwYzY0MDlmZWZhNmRjZWU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A36F1"/>
    <w:rsid w:val="010C450B"/>
    <w:rsid w:val="02860CE1"/>
    <w:rsid w:val="02A06DF6"/>
    <w:rsid w:val="03311B51"/>
    <w:rsid w:val="035607B0"/>
    <w:rsid w:val="035A0B08"/>
    <w:rsid w:val="0385634A"/>
    <w:rsid w:val="03DD3435"/>
    <w:rsid w:val="042D39B1"/>
    <w:rsid w:val="045521C0"/>
    <w:rsid w:val="04880F3B"/>
    <w:rsid w:val="04BB1052"/>
    <w:rsid w:val="05A827C4"/>
    <w:rsid w:val="07023E8A"/>
    <w:rsid w:val="073060B3"/>
    <w:rsid w:val="073F34F8"/>
    <w:rsid w:val="07D41F0B"/>
    <w:rsid w:val="08A47722"/>
    <w:rsid w:val="08EE1782"/>
    <w:rsid w:val="094625ED"/>
    <w:rsid w:val="09615163"/>
    <w:rsid w:val="09736C45"/>
    <w:rsid w:val="098C0FAE"/>
    <w:rsid w:val="0A1370D9"/>
    <w:rsid w:val="0A39106F"/>
    <w:rsid w:val="0A783487"/>
    <w:rsid w:val="0A920A74"/>
    <w:rsid w:val="0B3B4932"/>
    <w:rsid w:val="0B8A5AE2"/>
    <w:rsid w:val="0BA06A0A"/>
    <w:rsid w:val="0C460641"/>
    <w:rsid w:val="0CDE4AF1"/>
    <w:rsid w:val="0D2F7233"/>
    <w:rsid w:val="0DB0649C"/>
    <w:rsid w:val="0E2234E7"/>
    <w:rsid w:val="0E832759"/>
    <w:rsid w:val="0F485C18"/>
    <w:rsid w:val="0F895718"/>
    <w:rsid w:val="11731E51"/>
    <w:rsid w:val="127E0B34"/>
    <w:rsid w:val="12C34E9D"/>
    <w:rsid w:val="137A735A"/>
    <w:rsid w:val="13B24508"/>
    <w:rsid w:val="14103A0E"/>
    <w:rsid w:val="142E658A"/>
    <w:rsid w:val="143F69DA"/>
    <w:rsid w:val="148111FB"/>
    <w:rsid w:val="15D60886"/>
    <w:rsid w:val="15ED33A3"/>
    <w:rsid w:val="16A220B2"/>
    <w:rsid w:val="16AB249D"/>
    <w:rsid w:val="17EC02EE"/>
    <w:rsid w:val="18417A35"/>
    <w:rsid w:val="19AD5CBE"/>
    <w:rsid w:val="19BC302E"/>
    <w:rsid w:val="1A33331F"/>
    <w:rsid w:val="1AF847D0"/>
    <w:rsid w:val="1BDD07BD"/>
    <w:rsid w:val="1C136BB6"/>
    <w:rsid w:val="1C2C0216"/>
    <w:rsid w:val="1C4B5EA8"/>
    <w:rsid w:val="1D502DF1"/>
    <w:rsid w:val="1E1554ED"/>
    <w:rsid w:val="1F822F2C"/>
    <w:rsid w:val="207B6E01"/>
    <w:rsid w:val="20BD4367"/>
    <w:rsid w:val="20D64E62"/>
    <w:rsid w:val="210D14B3"/>
    <w:rsid w:val="213C5882"/>
    <w:rsid w:val="2165554F"/>
    <w:rsid w:val="220473D7"/>
    <w:rsid w:val="22446C29"/>
    <w:rsid w:val="22622886"/>
    <w:rsid w:val="23B802A0"/>
    <w:rsid w:val="24961F6E"/>
    <w:rsid w:val="26252182"/>
    <w:rsid w:val="265E174C"/>
    <w:rsid w:val="2686038F"/>
    <w:rsid w:val="28C72B2B"/>
    <w:rsid w:val="2A241E9E"/>
    <w:rsid w:val="2A875297"/>
    <w:rsid w:val="2C874AAF"/>
    <w:rsid w:val="2C8E66A6"/>
    <w:rsid w:val="2CAF5168"/>
    <w:rsid w:val="2CBB47F9"/>
    <w:rsid w:val="2D4A1910"/>
    <w:rsid w:val="2D611888"/>
    <w:rsid w:val="2D731FB6"/>
    <w:rsid w:val="2DED34CC"/>
    <w:rsid w:val="2EFD1D1D"/>
    <w:rsid w:val="2F143740"/>
    <w:rsid w:val="2F3A186E"/>
    <w:rsid w:val="2F3B2F8F"/>
    <w:rsid w:val="2F3D1C08"/>
    <w:rsid w:val="2F635E07"/>
    <w:rsid w:val="2FC42E20"/>
    <w:rsid w:val="2FD666A8"/>
    <w:rsid w:val="301E6878"/>
    <w:rsid w:val="31F8771F"/>
    <w:rsid w:val="32852601"/>
    <w:rsid w:val="332433C5"/>
    <w:rsid w:val="3376156C"/>
    <w:rsid w:val="33915039"/>
    <w:rsid w:val="348E387D"/>
    <w:rsid w:val="35A46FAE"/>
    <w:rsid w:val="37F05781"/>
    <w:rsid w:val="398960D8"/>
    <w:rsid w:val="3A066436"/>
    <w:rsid w:val="3A2516BB"/>
    <w:rsid w:val="3A5F4485"/>
    <w:rsid w:val="3AFB4323"/>
    <w:rsid w:val="3B3C635C"/>
    <w:rsid w:val="3B563000"/>
    <w:rsid w:val="3B714E2B"/>
    <w:rsid w:val="3CC86AC9"/>
    <w:rsid w:val="3CCB04A6"/>
    <w:rsid w:val="3CD37326"/>
    <w:rsid w:val="3D9A7025"/>
    <w:rsid w:val="3DDB658B"/>
    <w:rsid w:val="3EED354E"/>
    <w:rsid w:val="3F173AB4"/>
    <w:rsid w:val="3F7A539C"/>
    <w:rsid w:val="3FB5783A"/>
    <w:rsid w:val="404B0923"/>
    <w:rsid w:val="405857FB"/>
    <w:rsid w:val="408338D7"/>
    <w:rsid w:val="41510996"/>
    <w:rsid w:val="41CE6B33"/>
    <w:rsid w:val="42147451"/>
    <w:rsid w:val="43881670"/>
    <w:rsid w:val="43E82525"/>
    <w:rsid w:val="44A8055A"/>
    <w:rsid w:val="44AD1531"/>
    <w:rsid w:val="44BA68F8"/>
    <w:rsid w:val="45AF30FD"/>
    <w:rsid w:val="46463B20"/>
    <w:rsid w:val="464A6125"/>
    <w:rsid w:val="465B3014"/>
    <w:rsid w:val="46BC2AFB"/>
    <w:rsid w:val="472F5293"/>
    <w:rsid w:val="472F6522"/>
    <w:rsid w:val="47905EE7"/>
    <w:rsid w:val="47DB0FE0"/>
    <w:rsid w:val="485A4022"/>
    <w:rsid w:val="487C2CBC"/>
    <w:rsid w:val="4886767F"/>
    <w:rsid w:val="48986B3F"/>
    <w:rsid w:val="49B66251"/>
    <w:rsid w:val="4A452406"/>
    <w:rsid w:val="4BB93099"/>
    <w:rsid w:val="4C983030"/>
    <w:rsid w:val="4D4D2EE2"/>
    <w:rsid w:val="4DC24E8C"/>
    <w:rsid w:val="4F3A75B6"/>
    <w:rsid w:val="4F8A1859"/>
    <w:rsid w:val="4FE958A7"/>
    <w:rsid w:val="50144827"/>
    <w:rsid w:val="502D24E4"/>
    <w:rsid w:val="50DE2135"/>
    <w:rsid w:val="511E5BAD"/>
    <w:rsid w:val="51BC2AE8"/>
    <w:rsid w:val="51C61D96"/>
    <w:rsid w:val="528D5C4E"/>
    <w:rsid w:val="52CE5689"/>
    <w:rsid w:val="52E64830"/>
    <w:rsid w:val="540B32CF"/>
    <w:rsid w:val="558A3D0F"/>
    <w:rsid w:val="569E5C28"/>
    <w:rsid w:val="57313D11"/>
    <w:rsid w:val="578D69F6"/>
    <w:rsid w:val="57BE1510"/>
    <w:rsid w:val="58984C16"/>
    <w:rsid w:val="5950697A"/>
    <w:rsid w:val="599A4762"/>
    <w:rsid w:val="5A6000EC"/>
    <w:rsid w:val="5B5877E2"/>
    <w:rsid w:val="5B8E0A22"/>
    <w:rsid w:val="5BCD3412"/>
    <w:rsid w:val="5BE3458F"/>
    <w:rsid w:val="5D12474B"/>
    <w:rsid w:val="5D756F58"/>
    <w:rsid w:val="5DD0286D"/>
    <w:rsid w:val="5E2F4302"/>
    <w:rsid w:val="5E8C12D3"/>
    <w:rsid w:val="5EA6784A"/>
    <w:rsid w:val="5EEA0F2A"/>
    <w:rsid w:val="5F2416FD"/>
    <w:rsid w:val="5F9D1CA2"/>
    <w:rsid w:val="5FD300DB"/>
    <w:rsid w:val="5FE25B93"/>
    <w:rsid w:val="608C59E7"/>
    <w:rsid w:val="60F9120D"/>
    <w:rsid w:val="61095D5D"/>
    <w:rsid w:val="6122691F"/>
    <w:rsid w:val="61284751"/>
    <w:rsid w:val="61C422AA"/>
    <w:rsid w:val="61D07906"/>
    <w:rsid w:val="62461009"/>
    <w:rsid w:val="642A0711"/>
    <w:rsid w:val="644A3AA8"/>
    <w:rsid w:val="64CD45D0"/>
    <w:rsid w:val="655541D3"/>
    <w:rsid w:val="65594766"/>
    <w:rsid w:val="65A568B8"/>
    <w:rsid w:val="65AE22F3"/>
    <w:rsid w:val="66465782"/>
    <w:rsid w:val="670A4733"/>
    <w:rsid w:val="676F7BC1"/>
    <w:rsid w:val="67DE5EA5"/>
    <w:rsid w:val="68151FD4"/>
    <w:rsid w:val="68951E43"/>
    <w:rsid w:val="68DF308E"/>
    <w:rsid w:val="69077DF5"/>
    <w:rsid w:val="6A16299D"/>
    <w:rsid w:val="6AA9175D"/>
    <w:rsid w:val="6B79100E"/>
    <w:rsid w:val="6D0B604A"/>
    <w:rsid w:val="6D561607"/>
    <w:rsid w:val="6DAC05BE"/>
    <w:rsid w:val="6F8373FF"/>
    <w:rsid w:val="6FDE7145"/>
    <w:rsid w:val="7025059A"/>
    <w:rsid w:val="71E847F7"/>
    <w:rsid w:val="725809D6"/>
    <w:rsid w:val="726E061C"/>
    <w:rsid w:val="73602EA4"/>
    <w:rsid w:val="73875405"/>
    <w:rsid w:val="73B74532"/>
    <w:rsid w:val="74425F26"/>
    <w:rsid w:val="748F3650"/>
    <w:rsid w:val="74CC7CBB"/>
    <w:rsid w:val="75847F67"/>
    <w:rsid w:val="75D51D74"/>
    <w:rsid w:val="76DC7584"/>
    <w:rsid w:val="774E2667"/>
    <w:rsid w:val="78866113"/>
    <w:rsid w:val="78EA3B59"/>
    <w:rsid w:val="7A161689"/>
    <w:rsid w:val="7AD8717E"/>
    <w:rsid w:val="7AE82849"/>
    <w:rsid w:val="7B11145D"/>
    <w:rsid w:val="7B360113"/>
    <w:rsid w:val="7C272A20"/>
    <w:rsid w:val="7C8660BD"/>
    <w:rsid w:val="7CA05978"/>
    <w:rsid w:val="7D2B0DAC"/>
    <w:rsid w:val="7D821669"/>
    <w:rsid w:val="7D982F9D"/>
    <w:rsid w:val="7EE86560"/>
    <w:rsid w:val="7F09259F"/>
    <w:rsid w:val="7F2B6214"/>
    <w:rsid w:val="7F851177"/>
    <w:rsid w:val="7FBC5227"/>
    <w:rsid w:val="7FE61D04"/>
    <w:rsid w:val="7FEE04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7"/>
    <w:autoRedefine/>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8"/>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9"/>
    <w:autoRedefine/>
    <w:qFormat/>
    <w:uiPriority w:val="99"/>
    <w:pPr>
      <w:keepNext/>
      <w:keepLines/>
      <w:spacing w:before="260" w:after="260" w:line="416" w:lineRule="auto"/>
      <w:outlineLvl w:val="2"/>
    </w:pPr>
    <w:rPr>
      <w:b/>
      <w:bCs/>
      <w:sz w:val="32"/>
      <w:szCs w:val="32"/>
    </w:rPr>
  </w:style>
  <w:style w:type="paragraph" w:styleId="9">
    <w:name w:val="heading 4"/>
    <w:basedOn w:val="1"/>
    <w:next w:val="1"/>
    <w:link w:val="70"/>
    <w:autoRedefine/>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71"/>
    <w:autoRedefine/>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72"/>
    <w:autoRedefine/>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3"/>
    <w:autoRedefine/>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4"/>
    <w:autoRedefine/>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5"/>
    <w:autoRedefine/>
    <w:qFormat/>
    <w:uiPriority w:val="99"/>
    <w:pPr>
      <w:keepNext/>
      <w:keepLines/>
      <w:spacing w:before="240" w:after="64" w:line="317" w:lineRule="auto"/>
      <w:outlineLvl w:val="8"/>
    </w:pPr>
    <w:rPr>
      <w:rFonts w:ascii="Cambria" w:hAnsi="Cambria" w:cs="Cambria"/>
    </w:rPr>
  </w:style>
  <w:style w:type="character" w:default="1" w:styleId="49">
    <w:name w:val="Default Paragraph Font"/>
    <w:autoRedefine/>
    <w:semiHidden/>
    <w:qFormat/>
    <w:uiPriority w:val="99"/>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3"/>
    <w:autoRedefine/>
    <w:qFormat/>
    <w:uiPriority w:val="99"/>
    <w:pPr>
      <w:ind w:firstLine="420" w:firstLineChars="200"/>
    </w:pPr>
  </w:style>
  <w:style w:type="paragraph" w:styleId="3">
    <w:name w:val="Body Text Indent"/>
    <w:basedOn w:val="1"/>
    <w:next w:val="4"/>
    <w:link w:val="80"/>
    <w:autoRedefine/>
    <w:qFormat/>
    <w:uiPriority w:val="99"/>
    <w:pPr>
      <w:spacing w:line="500" w:lineRule="exact"/>
      <w:ind w:firstLine="538"/>
    </w:pPr>
    <w:rPr>
      <w:sz w:val="28"/>
      <w:szCs w:val="28"/>
    </w:rPr>
  </w:style>
  <w:style w:type="paragraph" w:styleId="4">
    <w:name w:val="envelope return"/>
    <w:basedOn w:val="1"/>
    <w:next w:val="5"/>
    <w:autoRedefine/>
    <w:qFormat/>
    <w:uiPriority w:val="99"/>
    <w:pPr>
      <w:snapToGrid w:val="0"/>
    </w:pPr>
    <w:rPr>
      <w:rFonts w:ascii="Arial" w:hAnsi="Arial"/>
    </w:rPr>
  </w:style>
  <w:style w:type="paragraph" w:styleId="5">
    <w:name w:val="toc 7"/>
    <w:basedOn w:val="1"/>
    <w:next w:val="1"/>
    <w:autoRedefine/>
    <w:semiHidden/>
    <w:qFormat/>
    <w:uiPriority w:val="99"/>
    <w:pPr>
      <w:ind w:left="2520" w:leftChars="1200"/>
    </w:pPr>
    <w:rPr>
      <w:rFonts w:ascii="Calibri" w:hAnsi="Calibri" w:cs="Calibri"/>
    </w:rPr>
  </w:style>
  <w:style w:type="paragraph" w:styleId="15">
    <w:name w:val="Normal Indent"/>
    <w:basedOn w:val="1"/>
    <w:next w:val="2"/>
    <w:autoRedefine/>
    <w:qFormat/>
    <w:uiPriority w:val="99"/>
    <w:pPr>
      <w:adjustRightInd w:val="0"/>
      <w:spacing w:line="360" w:lineRule="atLeast"/>
      <w:ind w:firstLine="482"/>
      <w:textAlignment w:val="baseline"/>
    </w:pPr>
    <w:rPr>
      <w:kern w:val="0"/>
      <w:sz w:val="24"/>
      <w:szCs w:val="24"/>
    </w:rPr>
  </w:style>
  <w:style w:type="paragraph" w:styleId="16">
    <w:name w:val="caption"/>
    <w:basedOn w:val="1"/>
    <w:next w:val="1"/>
    <w:autoRedefine/>
    <w:qFormat/>
    <w:uiPriority w:val="99"/>
    <w:rPr>
      <w:rFonts w:ascii="Cambria" w:hAnsi="Cambria" w:eastAsia="黑体" w:cs="Cambria"/>
      <w:sz w:val="20"/>
      <w:szCs w:val="20"/>
    </w:rPr>
  </w:style>
  <w:style w:type="paragraph" w:styleId="17">
    <w:name w:val="Document Map"/>
    <w:basedOn w:val="1"/>
    <w:link w:val="76"/>
    <w:autoRedefine/>
    <w:semiHidden/>
    <w:qFormat/>
    <w:uiPriority w:val="99"/>
    <w:pPr>
      <w:shd w:val="clear" w:color="auto" w:fill="000080"/>
    </w:pPr>
    <w:rPr>
      <w:kern w:val="0"/>
      <w:sz w:val="20"/>
      <w:szCs w:val="20"/>
      <w:shd w:val="clear" w:color="auto" w:fill="000080"/>
    </w:rPr>
  </w:style>
  <w:style w:type="paragraph" w:styleId="18">
    <w:name w:val="annotation text"/>
    <w:basedOn w:val="1"/>
    <w:link w:val="77"/>
    <w:autoRedefine/>
    <w:semiHidden/>
    <w:qFormat/>
    <w:uiPriority w:val="99"/>
    <w:pPr>
      <w:jc w:val="left"/>
    </w:pPr>
  </w:style>
  <w:style w:type="paragraph" w:styleId="19">
    <w:name w:val="Body Text 3"/>
    <w:basedOn w:val="1"/>
    <w:link w:val="78"/>
    <w:autoRedefine/>
    <w:qFormat/>
    <w:uiPriority w:val="99"/>
    <w:rPr>
      <w:rFonts w:ascii="宋体" w:cs="宋体"/>
      <w:sz w:val="24"/>
      <w:szCs w:val="24"/>
    </w:rPr>
  </w:style>
  <w:style w:type="paragraph" w:styleId="20">
    <w:name w:val="Body Text"/>
    <w:basedOn w:val="1"/>
    <w:next w:val="21"/>
    <w:link w:val="79"/>
    <w:autoRedefine/>
    <w:qFormat/>
    <w:uiPriority w:val="99"/>
    <w:pPr>
      <w:jc w:val="center"/>
    </w:pPr>
    <w:rPr>
      <w:b/>
      <w:bCs/>
      <w:sz w:val="44"/>
      <w:szCs w:val="44"/>
    </w:rPr>
  </w:style>
  <w:style w:type="paragraph" w:customStyle="1" w:styleId="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2">
    <w:name w:val="Block Text"/>
    <w:basedOn w:val="1"/>
    <w:autoRedefine/>
    <w:qFormat/>
    <w:uiPriority w:val="99"/>
    <w:pPr>
      <w:spacing w:line="400" w:lineRule="exact"/>
      <w:ind w:left="-359" w:leftChars="-171" w:right="31" w:rightChars="15" w:firstLine="980" w:firstLineChars="350"/>
    </w:pPr>
    <w:rPr>
      <w:rFonts w:ascii="宋体" w:hAnsi="宋体" w:cs="宋体"/>
      <w:sz w:val="28"/>
      <w:szCs w:val="28"/>
    </w:rPr>
  </w:style>
  <w:style w:type="paragraph" w:styleId="23">
    <w:name w:val="index 4"/>
    <w:basedOn w:val="1"/>
    <w:next w:val="1"/>
    <w:autoRedefine/>
    <w:semiHidden/>
    <w:qFormat/>
    <w:uiPriority w:val="99"/>
    <w:pPr>
      <w:ind w:left="600" w:leftChars="600"/>
    </w:pPr>
  </w:style>
  <w:style w:type="paragraph" w:styleId="24">
    <w:name w:val="toc 5"/>
    <w:basedOn w:val="1"/>
    <w:next w:val="1"/>
    <w:autoRedefine/>
    <w:semiHidden/>
    <w:qFormat/>
    <w:uiPriority w:val="99"/>
    <w:pPr>
      <w:tabs>
        <w:tab w:val="right" w:leader="dot" w:pos="8296"/>
      </w:tabs>
      <w:ind w:left="1050" w:leftChars="500"/>
    </w:pPr>
    <w:rPr>
      <w:rFonts w:ascii="Calibri" w:hAnsi="Calibri" w:cs="Calibri"/>
    </w:rPr>
  </w:style>
  <w:style w:type="paragraph" w:styleId="25">
    <w:name w:val="toc 3"/>
    <w:basedOn w:val="1"/>
    <w:next w:val="1"/>
    <w:autoRedefine/>
    <w:semiHidden/>
    <w:qFormat/>
    <w:uiPriority w:val="99"/>
    <w:pPr>
      <w:ind w:left="840" w:leftChars="400"/>
    </w:pPr>
    <w:rPr>
      <w:rFonts w:ascii="Calibri" w:hAnsi="Calibri" w:cs="Calibri"/>
    </w:rPr>
  </w:style>
  <w:style w:type="paragraph" w:styleId="26">
    <w:name w:val="Plain Text"/>
    <w:basedOn w:val="1"/>
    <w:link w:val="81"/>
    <w:autoRedefine/>
    <w:qFormat/>
    <w:uiPriority w:val="99"/>
    <w:rPr>
      <w:rFonts w:ascii="宋体" w:hAnsi="Courier New" w:cs="宋体"/>
    </w:rPr>
  </w:style>
  <w:style w:type="paragraph" w:styleId="27">
    <w:name w:val="toc 8"/>
    <w:basedOn w:val="1"/>
    <w:next w:val="1"/>
    <w:autoRedefine/>
    <w:semiHidden/>
    <w:qFormat/>
    <w:uiPriority w:val="99"/>
    <w:pPr>
      <w:ind w:left="2940" w:leftChars="1400"/>
    </w:pPr>
    <w:rPr>
      <w:rFonts w:ascii="Calibri" w:hAnsi="Calibri" w:cs="Calibri"/>
    </w:rPr>
  </w:style>
  <w:style w:type="paragraph" w:styleId="28">
    <w:name w:val="Date"/>
    <w:basedOn w:val="1"/>
    <w:next w:val="1"/>
    <w:link w:val="82"/>
    <w:autoRedefine/>
    <w:qFormat/>
    <w:uiPriority w:val="99"/>
    <w:rPr>
      <w:rFonts w:ascii="仿宋_GB2312" w:eastAsia="仿宋_GB2312" w:cs="仿宋_GB2312"/>
      <w:sz w:val="30"/>
      <w:szCs w:val="30"/>
    </w:rPr>
  </w:style>
  <w:style w:type="paragraph" w:styleId="29">
    <w:name w:val="Body Text Indent 2"/>
    <w:basedOn w:val="1"/>
    <w:link w:val="83"/>
    <w:autoRedefine/>
    <w:qFormat/>
    <w:uiPriority w:val="99"/>
    <w:pPr>
      <w:spacing w:line="360" w:lineRule="exact"/>
      <w:ind w:firstLine="600" w:firstLineChars="250"/>
      <w:jc w:val="left"/>
    </w:pPr>
    <w:rPr>
      <w:sz w:val="24"/>
      <w:szCs w:val="24"/>
    </w:rPr>
  </w:style>
  <w:style w:type="paragraph" w:styleId="30">
    <w:name w:val="Balloon Text"/>
    <w:basedOn w:val="1"/>
    <w:link w:val="84"/>
    <w:autoRedefine/>
    <w:semiHidden/>
    <w:qFormat/>
    <w:uiPriority w:val="99"/>
    <w:rPr>
      <w:sz w:val="18"/>
      <w:szCs w:val="18"/>
    </w:rPr>
  </w:style>
  <w:style w:type="paragraph" w:styleId="31">
    <w:name w:val="footer"/>
    <w:basedOn w:val="1"/>
    <w:link w:val="85"/>
    <w:autoRedefine/>
    <w:qFormat/>
    <w:uiPriority w:val="99"/>
    <w:pPr>
      <w:tabs>
        <w:tab w:val="center" w:pos="4153"/>
        <w:tab w:val="right" w:pos="8306"/>
      </w:tabs>
      <w:snapToGrid w:val="0"/>
      <w:jc w:val="left"/>
    </w:pPr>
    <w:rPr>
      <w:sz w:val="18"/>
      <w:szCs w:val="18"/>
    </w:rPr>
  </w:style>
  <w:style w:type="paragraph" w:styleId="32">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semiHidden/>
    <w:qFormat/>
    <w:uiPriority w:val="99"/>
    <w:pPr>
      <w:tabs>
        <w:tab w:val="right" w:leader="dot" w:pos="8296"/>
      </w:tabs>
    </w:pPr>
    <w:rPr>
      <w:rFonts w:ascii="宋体" w:eastAsia="楷体_GB2312" w:cs="宋体"/>
      <w:b/>
      <w:bCs/>
      <w:kern w:val="0"/>
      <w:sz w:val="28"/>
      <w:szCs w:val="28"/>
    </w:rPr>
  </w:style>
  <w:style w:type="paragraph" w:styleId="34">
    <w:name w:val="toc 4"/>
    <w:basedOn w:val="1"/>
    <w:next w:val="1"/>
    <w:autoRedefine/>
    <w:semiHidden/>
    <w:qFormat/>
    <w:uiPriority w:val="99"/>
    <w:pPr>
      <w:tabs>
        <w:tab w:val="left" w:pos="1890"/>
        <w:tab w:val="right" w:leader="dot" w:pos="8296"/>
      </w:tabs>
      <w:ind w:left="630" w:leftChars="300"/>
    </w:pPr>
    <w:rPr>
      <w:rFonts w:ascii="Calibri" w:hAnsi="Calibri" w:cs="Calibri"/>
    </w:rPr>
  </w:style>
  <w:style w:type="paragraph" w:styleId="35">
    <w:name w:val="Subtitle"/>
    <w:basedOn w:val="1"/>
    <w:next w:val="1"/>
    <w:link w:val="87"/>
    <w:autoRedefine/>
    <w:qFormat/>
    <w:uiPriority w:val="99"/>
    <w:pPr>
      <w:spacing w:before="240" w:after="60" w:line="312" w:lineRule="auto"/>
      <w:jc w:val="center"/>
      <w:outlineLvl w:val="1"/>
    </w:pPr>
    <w:rPr>
      <w:rFonts w:ascii="Cambria" w:hAnsi="Cambria" w:cs="Cambria"/>
      <w:b/>
      <w:bCs/>
      <w:kern w:val="28"/>
      <w:sz w:val="32"/>
      <w:szCs w:val="32"/>
    </w:rPr>
  </w:style>
  <w:style w:type="paragraph" w:styleId="36">
    <w:name w:val="footnote text"/>
    <w:basedOn w:val="1"/>
    <w:link w:val="88"/>
    <w:autoRedefine/>
    <w:semiHidden/>
    <w:qFormat/>
    <w:uiPriority w:val="99"/>
    <w:rPr>
      <w:sz w:val="20"/>
      <w:szCs w:val="20"/>
    </w:rPr>
  </w:style>
  <w:style w:type="paragraph" w:styleId="37">
    <w:name w:val="toc 6"/>
    <w:basedOn w:val="1"/>
    <w:next w:val="1"/>
    <w:autoRedefine/>
    <w:semiHidden/>
    <w:qFormat/>
    <w:uiPriority w:val="99"/>
    <w:pPr>
      <w:ind w:left="2100" w:leftChars="1000"/>
    </w:pPr>
    <w:rPr>
      <w:rFonts w:ascii="Calibri" w:hAnsi="Calibri" w:cs="Calibri"/>
    </w:rPr>
  </w:style>
  <w:style w:type="paragraph" w:styleId="38">
    <w:name w:val="Body Text Indent 3"/>
    <w:basedOn w:val="1"/>
    <w:link w:val="89"/>
    <w:autoRedefine/>
    <w:qFormat/>
    <w:uiPriority w:val="99"/>
    <w:pPr>
      <w:spacing w:after="120"/>
      <w:ind w:left="420" w:leftChars="200"/>
    </w:pPr>
    <w:rPr>
      <w:sz w:val="16"/>
      <w:szCs w:val="16"/>
    </w:rPr>
  </w:style>
  <w:style w:type="paragraph" w:styleId="39">
    <w:name w:val="table of figures"/>
    <w:basedOn w:val="1"/>
    <w:next w:val="1"/>
    <w:autoRedefine/>
    <w:semiHidden/>
    <w:qFormat/>
    <w:uiPriority w:val="99"/>
    <w:pPr>
      <w:ind w:left="200" w:leftChars="200" w:hanging="200" w:hangingChars="200"/>
    </w:pPr>
  </w:style>
  <w:style w:type="paragraph" w:styleId="40">
    <w:name w:val="toc 2"/>
    <w:basedOn w:val="1"/>
    <w:next w:val="1"/>
    <w:autoRedefine/>
    <w:semiHidden/>
    <w:qFormat/>
    <w:uiPriority w:val="99"/>
    <w:pPr>
      <w:ind w:left="420" w:leftChars="200"/>
    </w:pPr>
    <w:rPr>
      <w:rFonts w:ascii="宋体" w:cs="宋体"/>
      <w:b/>
      <w:bCs/>
      <w:sz w:val="28"/>
      <w:szCs w:val="28"/>
    </w:rPr>
  </w:style>
  <w:style w:type="paragraph" w:styleId="41">
    <w:name w:val="toc 9"/>
    <w:basedOn w:val="1"/>
    <w:next w:val="1"/>
    <w:autoRedefine/>
    <w:semiHidden/>
    <w:qFormat/>
    <w:uiPriority w:val="99"/>
    <w:pPr>
      <w:ind w:left="3360" w:leftChars="1600"/>
    </w:pPr>
    <w:rPr>
      <w:rFonts w:ascii="Calibri" w:hAnsi="Calibri" w:cs="Calibri"/>
    </w:rPr>
  </w:style>
  <w:style w:type="paragraph" w:styleId="42">
    <w:name w:val="Body Text 2"/>
    <w:basedOn w:val="1"/>
    <w:link w:val="90"/>
    <w:autoRedefine/>
    <w:qFormat/>
    <w:uiPriority w:val="99"/>
    <w:pPr>
      <w:spacing w:line="440" w:lineRule="exact"/>
    </w:pPr>
    <w:rPr>
      <w:sz w:val="28"/>
      <w:szCs w:val="28"/>
    </w:rPr>
  </w:style>
  <w:style w:type="paragraph" w:styleId="43">
    <w:name w:val="Normal (Web)"/>
    <w:basedOn w:val="1"/>
    <w:autoRedefine/>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4">
    <w:name w:val="Title"/>
    <w:basedOn w:val="1"/>
    <w:next w:val="1"/>
    <w:link w:val="91"/>
    <w:autoRedefine/>
    <w:qFormat/>
    <w:uiPriority w:val="99"/>
    <w:pPr>
      <w:spacing w:before="240" w:after="60"/>
      <w:jc w:val="center"/>
      <w:outlineLvl w:val="0"/>
    </w:pPr>
    <w:rPr>
      <w:rFonts w:ascii="Cambria" w:hAnsi="Cambria" w:cs="Cambria"/>
      <w:b/>
      <w:bCs/>
      <w:sz w:val="32"/>
      <w:szCs w:val="32"/>
    </w:rPr>
  </w:style>
  <w:style w:type="paragraph" w:styleId="45">
    <w:name w:val="annotation subject"/>
    <w:basedOn w:val="18"/>
    <w:next w:val="18"/>
    <w:link w:val="92"/>
    <w:autoRedefine/>
    <w:semiHidden/>
    <w:qFormat/>
    <w:uiPriority w:val="99"/>
    <w:rPr>
      <w:rFonts w:ascii="宋体" w:cs="宋体"/>
      <w:b/>
      <w:bCs/>
      <w:kern w:val="0"/>
      <w:sz w:val="28"/>
      <w:szCs w:val="28"/>
    </w:rPr>
  </w:style>
  <w:style w:type="paragraph" w:styleId="46">
    <w:name w:val="Body Text First Indent"/>
    <w:basedOn w:val="20"/>
    <w:autoRedefine/>
    <w:qFormat/>
    <w:locked/>
    <w:uiPriority w:val="0"/>
    <w:pPr>
      <w:adjustRightInd/>
      <w:spacing w:after="120" w:line="240" w:lineRule="auto"/>
      <w:ind w:firstLine="420" w:firstLineChars="100"/>
      <w:jc w:val="both"/>
    </w:pPr>
  </w:style>
  <w:style w:type="table" w:styleId="48">
    <w:name w:val="Table Grid"/>
    <w:basedOn w:val="4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autoRedefine/>
    <w:qFormat/>
    <w:uiPriority w:val="99"/>
    <w:rPr>
      <w:rFonts w:cs="Times New Roman"/>
      <w:b/>
      <w:bCs/>
    </w:rPr>
  </w:style>
  <w:style w:type="character" w:styleId="51">
    <w:name w:val="page number"/>
    <w:basedOn w:val="49"/>
    <w:autoRedefine/>
    <w:qFormat/>
    <w:uiPriority w:val="99"/>
    <w:rPr>
      <w:rFonts w:cs="Times New Roman"/>
    </w:rPr>
  </w:style>
  <w:style w:type="character" w:styleId="52">
    <w:name w:val="FollowedHyperlink"/>
    <w:basedOn w:val="49"/>
    <w:autoRedefine/>
    <w:qFormat/>
    <w:uiPriority w:val="99"/>
    <w:rPr>
      <w:rFonts w:cs="Times New Roman"/>
      <w:color w:val="333333"/>
      <w:u w:val="none"/>
    </w:rPr>
  </w:style>
  <w:style w:type="character" w:styleId="53">
    <w:name w:val="Emphasis"/>
    <w:basedOn w:val="49"/>
    <w:autoRedefine/>
    <w:qFormat/>
    <w:uiPriority w:val="99"/>
    <w:rPr>
      <w:rFonts w:cs="Times New Roman"/>
      <w:color w:val="auto"/>
    </w:rPr>
  </w:style>
  <w:style w:type="character" w:styleId="54">
    <w:name w:val="HTML Definition"/>
    <w:basedOn w:val="49"/>
    <w:autoRedefine/>
    <w:qFormat/>
    <w:uiPriority w:val="99"/>
    <w:rPr>
      <w:rFonts w:cs="Times New Roman"/>
    </w:rPr>
  </w:style>
  <w:style w:type="character" w:styleId="55">
    <w:name w:val="HTML Typewriter"/>
    <w:basedOn w:val="49"/>
    <w:autoRedefine/>
    <w:qFormat/>
    <w:uiPriority w:val="99"/>
    <w:rPr>
      <w:rFonts w:ascii="monospace" w:hAnsi="monospace" w:cs="monospace"/>
      <w:sz w:val="20"/>
    </w:rPr>
  </w:style>
  <w:style w:type="character" w:styleId="56">
    <w:name w:val="HTML Acronym"/>
    <w:basedOn w:val="49"/>
    <w:autoRedefine/>
    <w:qFormat/>
    <w:uiPriority w:val="99"/>
    <w:rPr>
      <w:rFonts w:cs="Times New Roman"/>
    </w:rPr>
  </w:style>
  <w:style w:type="character" w:styleId="57">
    <w:name w:val="HTML Variable"/>
    <w:basedOn w:val="49"/>
    <w:autoRedefine/>
    <w:qFormat/>
    <w:uiPriority w:val="99"/>
    <w:rPr>
      <w:rFonts w:cs="Times New Roman"/>
    </w:rPr>
  </w:style>
  <w:style w:type="character" w:styleId="58">
    <w:name w:val="Hyperlink"/>
    <w:basedOn w:val="49"/>
    <w:autoRedefine/>
    <w:qFormat/>
    <w:uiPriority w:val="99"/>
    <w:rPr>
      <w:rFonts w:cs="Times New Roman"/>
      <w:color w:val="333333"/>
      <w:u w:val="none"/>
    </w:rPr>
  </w:style>
  <w:style w:type="character" w:styleId="59">
    <w:name w:val="HTML Code"/>
    <w:basedOn w:val="49"/>
    <w:autoRedefine/>
    <w:qFormat/>
    <w:uiPriority w:val="99"/>
    <w:rPr>
      <w:rFonts w:ascii="monospace" w:hAnsi="monospace" w:cs="monospace"/>
      <w:sz w:val="20"/>
    </w:rPr>
  </w:style>
  <w:style w:type="character" w:styleId="60">
    <w:name w:val="annotation reference"/>
    <w:basedOn w:val="49"/>
    <w:autoRedefine/>
    <w:semiHidden/>
    <w:qFormat/>
    <w:uiPriority w:val="99"/>
    <w:rPr>
      <w:rFonts w:cs="Times New Roman"/>
      <w:sz w:val="21"/>
      <w:szCs w:val="21"/>
    </w:rPr>
  </w:style>
  <w:style w:type="character" w:styleId="61">
    <w:name w:val="HTML Cite"/>
    <w:basedOn w:val="49"/>
    <w:autoRedefine/>
    <w:qFormat/>
    <w:uiPriority w:val="99"/>
    <w:rPr>
      <w:rFonts w:cs="Times New Roman"/>
    </w:rPr>
  </w:style>
  <w:style w:type="character" w:styleId="62">
    <w:name w:val="footnote reference"/>
    <w:basedOn w:val="49"/>
    <w:autoRedefine/>
    <w:semiHidden/>
    <w:qFormat/>
    <w:uiPriority w:val="99"/>
    <w:rPr>
      <w:rFonts w:cs="Times New Roman"/>
      <w:vertAlign w:val="superscript"/>
    </w:rPr>
  </w:style>
  <w:style w:type="character" w:styleId="63">
    <w:name w:val="HTML Keyboard"/>
    <w:basedOn w:val="49"/>
    <w:autoRedefine/>
    <w:qFormat/>
    <w:uiPriority w:val="99"/>
    <w:rPr>
      <w:rFonts w:ascii="monospace" w:hAnsi="monospace" w:cs="monospace"/>
      <w:sz w:val="20"/>
    </w:rPr>
  </w:style>
  <w:style w:type="character" w:styleId="64">
    <w:name w:val="HTML Sample"/>
    <w:basedOn w:val="49"/>
    <w:autoRedefine/>
    <w:qFormat/>
    <w:uiPriority w:val="99"/>
    <w:rPr>
      <w:rFonts w:ascii="monospace" w:hAnsi="monospace" w:cs="monospace"/>
    </w:rPr>
  </w:style>
  <w:style w:type="paragraph" w:customStyle="1" w:styleId="65">
    <w:name w:val="正文文字 8"/>
    <w:basedOn w:val="1"/>
    <w:next w:val="1"/>
    <w:autoRedefine/>
    <w:qFormat/>
    <w:uiPriority w:val="0"/>
    <w:pPr>
      <w:ind w:left="240"/>
    </w:pPr>
    <w:rPr>
      <w:sz w:val="16"/>
    </w:rPr>
  </w:style>
  <w:style w:type="paragraph" w:customStyle="1" w:styleId="66">
    <w:name w:val="列出段落1"/>
    <w:basedOn w:val="1"/>
    <w:autoRedefine/>
    <w:qFormat/>
    <w:uiPriority w:val="99"/>
    <w:pPr>
      <w:ind w:firstLine="420" w:firstLineChars="200"/>
    </w:pPr>
    <w:rPr>
      <w:rFonts w:ascii="Calibri" w:hAnsi="Calibri" w:cs="Calibri"/>
    </w:rPr>
  </w:style>
  <w:style w:type="character" w:customStyle="1" w:styleId="67">
    <w:name w:val="Heading 1 Char"/>
    <w:basedOn w:val="49"/>
    <w:link w:val="6"/>
    <w:autoRedefine/>
    <w:qFormat/>
    <w:locked/>
    <w:uiPriority w:val="99"/>
    <w:rPr>
      <w:rFonts w:ascii="Times New Roman" w:hAnsi="Times New Roman" w:eastAsia="仿宋" w:cs="Times New Roman"/>
      <w:b/>
      <w:bCs/>
      <w:kern w:val="44"/>
      <w:sz w:val="44"/>
      <w:szCs w:val="44"/>
      <w:lang w:val="en-US" w:eastAsia="zh-CN"/>
    </w:rPr>
  </w:style>
  <w:style w:type="character" w:customStyle="1" w:styleId="68">
    <w:name w:val="Heading 2 Char"/>
    <w:basedOn w:val="49"/>
    <w:link w:val="7"/>
    <w:autoRedefine/>
    <w:qFormat/>
    <w:locked/>
    <w:uiPriority w:val="99"/>
    <w:rPr>
      <w:rFonts w:ascii="Arial" w:hAnsi="Arial" w:eastAsia="黑体" w:cs="Arial"/>
      <w:b/>
      <w:bCs/>
      <w:kern w:val="2"/>
      <w:sz w:val="32"/>
      <w:szCs w:val="32"/>
      <w:lang w:val="en-US" w:eastAsia="zh-CN"/>
    </w:rPr>
  </w:style>
  <w:style w:type="character" w:customStyle="1" w:styleId="69">
    <w:name w:val="Heading 3 Char"/>
    <w:basedOn w:val="49"/>
    <w:link w:val="8"/>
    <w:autoRedefine/>
    <w:qFormat/>
    <w:locked/>
    <w:uiPriority w:val="99"/>
    <w:rPr>
      <w:rFonts w:eastAsia="宋体" w:cs="Times New Roman"/>
      <w:b/>
      <w:bCs/>
      <w:kern w:val="2"/>
      <w:sz w:val="32"/>
      <w:szCs w:val="32"/>
      <w:lang w:val="en-US" w:eastAsia="zh-CN"/>
    </w:rPr>
  </w:style>
  <w:style w:type="character" w:customStyle="1" w:styleId="70">
    <w:name w:val="Heading 4 Char"/>
    <w:basedOn w:val="49"/>
    <w:link w:val="9"/>
    <w:autoRedefine/>
    <w:qFormat/>
    <w:locked/>
    <w:uiPriority w:val="99"/>
    <w:rPr>
      <w:rFonts w:ascii="Cambria" w:hAnsi="Cambria" w:eastAsia="宋体" w:cs="Cambria"/>
      <w:b/>
      <w:bCs/>
      <w:kern w:val="2"/>
      <w:sz w:val="28"/>
      <w:szCs w:val="28"/>
      <w:lang w:val="en-US" w:eastAsia="zh-CN"/>
    </w:rPr>
  </w:style>
  <w:style w:type="character" w:customStyle="1" w:styleId="71">
    <w:name w:val="Heading 5 Char"/>
    <w:basedOn w:val="49"/>
    <w:link w:val="10"/>
    <w:autoRedefine/>
    <w:qFormat/>
    <w:locked/>
    <w:uiPriority w:val="99"/>
    <w:rPr>
      <w:rFonts w:ascii="Calibri" w:hAnsi="Calibri" w:eastAsia="宋体" w:cs="Calibri"/>
      <w:b/>
      <w:bCs/>
      <w:kern w:val="2"/>
      <w:sz w:val="28"/>
      <w:szCs w:val="28"/>
      <w:lang w:val="en-US" w:eastAsia="zh-CN"/>
    </w:rPr>
  </w:style>
  <w:style w:type="character" w:customStyle="1" w:styleId="72">
    <w:name w:val="Heading 6 Char"/>
    <w:basedOn w:val="49"/>
    <w:link w:val="11"/>
    <w:autoRedefine/>
    <w:qFormat/>
    <w:locked/>
    <w:uiPriority w:val="99"/>
    <w:rPr>
      <w:rFonts w:ascii="Cambria" w:hAnsi="Cambria" w:eastAsia="宋体" w:cs="Cambria"/>
      <w:b/>
      <w:bCs/>
      <w:kern w:val="2"/>
      <w:sz w:val="24"/>
      <w:szCs w:val="24"/>
      <w:lang w:val="en-US" w:eastAsia="zh-CN"/>
    </w:rPr>
  </w:style>
  <w:style w:type="character" w:customStyle="1" w:styleId="73">
    <w:name w:val="Heading 7 Char"/>
    <w:basedOn w:val="49"/>
    <w:link w:val="12"/>
    <w:autoRedefine/>
    <w:qFormat/>
    <w:locked/>
    <w:uiPriority w:val="99"/>
    <w:rPr>
      <w:rFonts w:ascii="Calibri" w:hAnsi="Calibri" w:eastAsia="宋体" w:cs="Calibri"/>
      <w:b/>
      <w:bCs/>
      <w:kern w:val="2"/>
      <w:sz w:val="24"/>
      <w:szCs w:val="24"/>
      <w:lang w:val="en-US" w:eastAsia="zh-CN"/>
    </w:rPr>
  </w:style>
  <w:style w:type="character" w:customStyle="1" w:styleId="74">
    <w:name w:val="Heading 8 Char"/>
    <w:basedOn w:val="49"/>
    <w:link w:val="13"/>
    <w:autoRedefine/>
    <w:qFormat/>
    <w:locked/>
    <w:uiPriority w:val="99"/>
    <w:rPr>
      <w:rFonts w:ascii="Cambria" w:hAnsi="Cambria" w:eastAsia="宋体" w:cs="Cambria"/>
      <w:kern w:val="2"/>
      <w:sz w:val="24"/>
      <w:szCs w:val="24"/>
      <w:lang w:val="en-US" w:eastAsia="zh-CN"/>
    </w:rPr>
  </w:style>
  <w:style w:type="character" w:customStyle="1" w:styleId="75">
    <w:name w:val="Heading 9 Char"/>
    <w:basedOn w:val="49"/>
    <w:link w:val="14"/>
    <w:autoRedefine/>
    <w:qFormat/>
    <w:locked/>
    <w:uiPriority w:val="99"/>
    <w:rPr>
      <w:rFonts w:ascii="Cambria" w:hAnsi="Cambria" w:eastAsia="宋体" w:cs="Cambria"/>
      <w:kern w:val="2"/>
      <w:sz w:val="21"/>
      <w:szCs w:val="21"/>
      <w:lang w:val="en-US" w:eastAsia="zh-CN"/>
    </w:rPr>
  </w:style>
  <w:style w:type="character" w:customStyle="1" w:styleId="76">
    <w:name w:val="Document Map Char"/>
    <w:basedOn w:val="49"/>
    <w:link w:val="17"/>
    <w:autoRedefine/>
    <w:qFormat/>
    <w:locked/>
    <w:uiPriority w:val="99"/>
    <w:rPr>
      <w:rFonts w:cs="Times New Roman"/>
      <w:sz w:val="24"/>
      <w:szCs w:val="24"/>
      <w:shd w:val="clear" w:color="auto" w:fill="000080"/>
    </w:rPr>
  </w:style>
  <w:style w:type="character" w:customStyle="1" w:styleId="77">
    <w:name w:val="Comment Text Char"/>
    <w:basedOn w:val="49"/>
    <w:link w:val="18"/>
    <w:autoRedefine/>
    <w:qFormat/>
    <w:locked/>
    <w:uiPriority w:val="99"/>
    <w:rPr>
      <w:rFonts w:cs="Times New Roman"/>
      <w:kern w:val="2"/>
      <w:sz w:val="22"/>
      <w:szCs w:val="22"/>
    </w:rPr>
  </w:style>
  <w:style w:type="character" w:customStyle="1" w:styleId="78">
    <w:name w:val="Body Text 3 Char"/>
    <w:basedOn w:val="49"/>
    <w:link w:val="19"/>
    <w:autoRedefine/>
    <w:semiHidden/>
    <w:qFormat/>
    <w:locked/>
    <w:uiPriority w:val="99"/>
    <w:rPr>
      <w:rFonts w:cs="Times New Roman"/>
      <w:sz w:val="16"/>
      <w:szCs w:val="16"/>
    </w:rPr>
  </w:style>
  <w:style w:type="character" w:customStyle="1" w:styleId="79">
    <w:name w:val="Body Text Char"/>
    <w:basedOn w:val="49"/>
    <w:link w:val="20"/>
    <w:autoRedefine/>
    <w:qFormat/>
    <w:locked/>
    <w:uiPriority w:val="99"/>
    <w:rPr>
      <w:rFonts w:eastAsia="宋体" w:cs="Times New Roman"/>
      <w:b/>
      <w:bCs/>
      <w:kern w:val="2"/>
      <w:sz w:val="44"/>
      <w:szCs w:val="44"/>
      <w:lang w:val="en-US" w:eastAsia="zh-CN"/>
    </w:rPr>
  </w:style>
  <w:style w:type="character" w:customStyle="1" w:styleId="80">
    <w:name w:val="Body Text Indent Char"/>
    <w:basedOn w:val="49"/>
    <w:link w:val="3"/>
    <w:autoRedefine/>
    <w:semiHidden/>
    <w:qFormat/>
    <w:locked/>
    <w:uiPriority w:val="99"/>
    <w:rPr>
      <w:rFonts w:cs="Times New Roman"/>
      <w:sz w:val="21"/>
      <w:szCs w:val="21"/>
    </w:rPr>
  </w:style>
  <w:style w:type="character" w:customStyle="1" w:styleId="81">
    <w:name w:val="Plain Text Char"/>
    <w:basedOn w:val="49"/>
    <w:link w:val="26"/>
    <w:autoRedefine/>
    <w:semiHidden/>
    <w:qFormat/>
    <w:locked/>
    <w:uiPriority w:val="99"/>
    <w:rPr>
      <w:rFonts w:ascii="宋体" w:hAnsi="Courier New" w:cs="Courier New"/>
      <w:sz w:val="21"/>
      <w:szCs w:val="21"/>
    </w:rPr>
  </w:style>
  <w:style w:type="character" w:customStyle="1" w:styleId="82">
    <w:name w:val="Date Char"/>
    <w:basedOn w:val="49"/>
    <w:link w:val="28"/>
    <w:autoRedefine/>
    <w:qFormat/>
    <w:locked/>
    <w:uiPriority w:val="99"/>
    <w:rPr>
      <w:rFonts w:ascii="仿宋_GB2312" w:eastAsia="仿宋_GB2312" w:cs="仿宋_GB2312"/>
      <w:kern w:val="2"/>
      <w:sz w:val="30"/>
      <w:szCs w:val="30"/>
      <w:lang w:val="en-US" w:eastAsia="zh-CN"/>
    </w:rPr>
  </w:style>
  <w:style w:type="character" w:customStyle="1" w:styleId="83">
    <w:name w:val="Body Text Indent 2 Char"/>
    <w:basedOn w:val="49"/>
    <w:link w:val="29"/>
    <w:autoRedefine/>
    <w:semiHidden/>
    <w:qFormat/>
    <w:locked/>
    <w:uiPriority w:val="99"/>
    <w:rPr>
      <w:rFonts w:cs="Times New Roman"/>
      <w:sz w:val="21"/>
      <w:szCs w:val="21"/>
    </w:rPr>
  </w:style>
  <w:style w:type="character" w:customStyle="1" w:styleId="84">
    <w:name w:val="Balloon Text Char"/>
    <w:basedOn w:val="49"/>
    <w:link w:val="30"/>
    <w:autoRedefine/>
    <w:semiHidden/>
    <w:qFormat/>
    <w:locked/>
    <w:uiPriority w:val="99"/>
    <w:rPr>
      <w:rFonts w:cs="Times New Roman"/>
      <w:sz w:val="2"/>
    </w:rPr>
  </w:style>
  <w:style w:type="character" w:customStyle="1" w:styleId="85">
    <w:name w:val="Footer Char"/>
    <w:basedOn w:val="49"/>
    <w:link w:val="31"/>
    <w:autoRedefine/>
    <w:qFormat/>
    <w:locked/>
    <w:uiPriority w:val="99"/>
    <w:rPr>
      <w:rFonts w:eastAsia="宋体" w:cs="Times New Roman"/>
      <w:kern w:val="2"/>
      <w:sz w:val="18"/>
      <w:szCs w:val="18"/>
      <w:lang w:val="en-US" w:eastAsia="zh-CN"/>
    </w:rPr>
  </w:style>
  <w:style w:type="character" w:customStyle="1" w:styleId="86">
    <w:name w:val="Header Char"/>
    <w:basedOn w:val="49"/>
    <w:link w:val="32"/>
    <w:autoRedefine/>
    <w:qFormat/>
    <w:locked/>
    <w:uiPriority w:val="99"/>
    <w:rPr>
      <w:rFonts w:eastAsia="宋体" w:cs="Times New Roman"/>
      <w:kern w:val="2"/>
      <w:sz w:val="18"/>
      <w:szCs w:val="18"/>
      <w:lang w:val="en-US" w:eastAsia="zh-CN"/>
    </w:rPr>
  </w:style>
  <w:style w:type="character" w:customStyle="1" w:styleId="87">
    <w:name w:val="Subtitle Char"/>
    <w:basedOn w:val="49"/>
    <w:link w:val="35"/>
    <w:autoRedefine/>
    <w:qFormat/>
    <w:locked/>
    <w:uiPriority w:val="99"/>
    <w:rPr>
      <w:rFonts w:ascii="Cambria" w:hAnsi="Cambria" w:cs="Cambria"/>
      <w:b/>
      <w:bCs/>
      <w:kern w:val="28"/>
      <w:sz w:val="32"/>
      <w:szCs w:val="32"/>
    </w:rPr>
  </w:style>
  <w:style w:type="character" w:customStyle="1" w:styleId="88">
    <w:name w:val="Footnote Text Char"/>
    <w:basedOn w:val="49"/>
    <w:link w:val="36"/>
    <w:autoRedefine/>
    <w:semiHidden/>
    <w:qFormat/>
    <w:locked/>
    <w:uiPriority w:val="99"/>
    <w:rPr>
      <w:rFonts w:cs="Times New Roman"/>
      <w:sz w:val="18"/>
      <w:szCs w:val="18"/>
    </w:rPr>
  </w:style>
  <w:style w:type="character" w:customStyle="1" w:styleId="89">
    <w:name w:val="Body Text Indent 3 Char"/>
    <w:basedOn w:val="49"/>
    <w:link w:val="38"/>
    <w:autoRedefine/>
    <w:semiHidden/>
    <w:qFormat/>
    <w:locked/>
    <w:uiPriority w:val="99"/>
    <w:rPr>
      <w:rFonts w:cs="Times New Roman"/>
      <w:sz w:val="16"/>
      <w:szCs w:val="16"/>
    </w:rPr>
  </w:style>
  <w:style w:type="character" w:customStyle="1" w:styleId="90">
    <w:name w:val="Body Text 2 Char"/>
    <w:basedOn w:val="49"/>
    <w:link w:val="42"/>
    <w:autoRedefine/>
    <w:semiHidden/>
    <w:qFormat/>
    <w:locked/>
    <w:uiPriority w:val="99"/>
    <w:rPr>
      <w:rFonts w:cs="Times New Roman"/>
      <w:sz w:val="21"/>
      <w:szCs w:val="21"/>
    </w:rPr>
  </w:style>
  <w:style w:type="character" w:customStyle="1" w:styleId="91">
    <w:name w:val="Title Char"/>
    <w:basedOn w:val="49"/>
    <w:link w:val="44"/>
    <w:autoRedefine/>
    <w:qFormat/>
    <w:locked/>
    <w:uiPriority w:val="99"/>
    <w:rPr>
      <w:rFonts w:ascii="Cambria" w:hAnsi="Cambria" w:cs="Cambria"/>
      <w:b/>
      <w:bCs/>
      <w:kern w:val="2"/>
      <w:sz w:val="32"/>
      <w:szCs w:val="32"/>
    </w:rPr>
  </w:style>
  <w:style w:type="character" w:customStyle="1" w:styleId="92">
    <w:name w:val="Comment Subject Char"/>
    <w:basedOn w:val="77"/>
    <w:link w:val="45"/>
    <w:autoRedefine/>
    <w:qFormat/>
    <w:locked/>
    <w:uiPriority w:val="99"/>
    <w:rPr>
      <w:rFonts w:ascii="宋体" w:cs="宋体"/>
      <w:b/>
      <w:bCs/>
      <w:sz w:val="28"/>
      <w:szCs w:val="28"/>
    </w:rPr>
  </w:style>
  <w:style w:type="character" w:customStyle="1" w:styleId="93">
    <w:name w:val="Body Text First Indent 2 Char"/>
    <w:basedOn w:val="80"/>
    <w:link w:val="2"/>
    <w:autoRedefine/>
    <w:semiHidden/>
    <w:qFormat/>
    <w:locked/>
    <w:uiPriority w:val="99"/>
  </w:style>
  <w:style w:type="character" w:customStyle="1" w:styleId="94">
    <w:name w:val="批注文字 Char Char"/>
    <w:autoRedefine/>
    <w:qFormat/>
    <w:uiPriority w:val="99"/>
    <w:rPr>
      <w:rFonts w:ascii="宋体" w:hAnsi="Times New Roman" w:eastAsia="宋体"/>
      <w:sz w:val="20"/>
    </w:rPr>
  </w:style>
  <w:style w:type="character" w:customStyle="1" w:styleId="95">
    <w:name w:val="标题 1 Char Char"/>
    <w:autoRedefine/>
    <w:qFormat/>
    <w:locked/>
    <w:uiPriority w:val="99"/>
    <w:rPr>
      <w:rFonts w:eastAsia="宋体"/>
      <w:b/>
      <w:kern w:val="44"/>
      <w:sz w:val="44"/>
      <w:lang w:val="en-US" w:eastAsia="zh-CN"/>
    </w:rPr>
  </w:style>
  <w:style w:type="character" w:customStyle="1" w:styleId="96">
    <w:name w:val="Char Char"/>
    <w:autoRedefine/>
    <w:qFormat/>
    <w:uiPriority w:val="99"/>
    <w:rPr>
      <w:rFonts w:ascii="Arial" w:hAnsi="Arial" w:eastAsia="黑体"/>
      <w:b/>
      <w:kern w:val="2"/>
      <w:sz w:val="32"/>
      <w:lang w:val="en-US" w:eastAsia="zh-CN"/>
    </w:rPr>
  </w:style>
  <w:style w:type="character" w:customStyle="1" w:styleId="97">
    <w:name w:val="明显参考1"/>
    <w:autoRedefine/>
    <w:qFormat/>
    <w:uiPriority w:val="99"/>
    <w:rPr>
      <w:b/>
      <w:smallCaps/>
      <w:color w:val="auto"/>
      <w:spacing w:val="5"/>
      <w:u w:val="single"/>
    </w:rPr>
  </w:style>
  <w:style w:type="character" w:customStyle="1" w:styleId="98">
    <w:name w:val="明显强调1"/>
    <w:autoRedefine/>
    <w:qFormat/>
    <w:uiPriority w:val="99"/>
    <w:rPr>
      <w:b/>
      <w:i/>
      <w:color w:val="4F81BD"/>
    </w:rPr>
  </w:style>
  <w:style w:type="character" w:customStyle="1" w:styleId="99">
    <w:name w:val="文档结构图 Char1"/>
    <w:autoRedefine/>
    <w:qFormat/>
    <w:uiPriority w:val="99"/>
    <w:rPr>
      <w:rFonts w:ascii="宋体"/>
      <w:kern w:val="2"/>
      <w:sz w:val="18"/>
    </w:rPr>
  </w:style>
  <w:style w:type="character" w:customStyle="1" w:styleId="100">
    <w:name w:val="日期 Char"/>
    <w:autoRedefine/>
    <w:qFormat/>
    <w:uiPriority w:val="99"/>
    <w:rPr>
      <w:rFonts w:ascii="仿宋_GB2312" w:eastAsia="仿宋_GB2312"/>
      <w:kern w:val="2"/>
      <w:sz w:val="30"/>
      <w:lang w:val="en-US" w:eastAsia="zh-CN"/>
    </w:rPr>
  </w:style>
  <w:style w:type="character" w:customStyle="1" w:styleId="101">
    <w:name w:val="textcontents"/>
    <w:autoRedefine/>
    <w:qFormat/>
    <w:uiPriority w:val="99"/>
  </w:style>
  <w:style w:type="character" w:customStyle="1" w:styleId="102">
    <w:name w:val="引用 Char"/>
    <w:link w:val="103"/>
    <w:autoRedefine/>
    <w:qFormat/>
    <w:locked/>
    <w:uiPriority w:val="99"/>
    <w:rPr>
      <w:i/>
      <w:color w:val="000000"/>
      <w:kern w:val="2"/>
      <w:sz w:val="22"/>
    </w:rPr>
  </w:style>
  <w:style w:type="paragraph" w:customStyle="1" w:styleId="103">
    <w:name w:val="引用1"/>
    <w:basedOn w:val="1"/>
    <w:next w:val="1"/>
    <w:link w:val="102"/>
    <w:autoRedefine/>
    <w:qFormat/>
    <w:uiPriority w:val="99"/>
    <w:rPr>
      <w:i/>
      <w:color w:val="000000"/>
      <w:sz w:val="22"/>
      <w:szCs w:val="20"/>
    </w:rPr>
  </w:style>
  <w:style w:type="character" w:customStyle="1" w:styleId="104">
    <w:name w:val="日期 Char1"/>
    <w:autoRedefine/>
    <w:qFormat/>
    <w:uiPriority w:val="99"/>
    <w:rPr>
      <w:kern w:val="2"/>
      <w:sz w:val="22"/>
    </w:rPr>
  </w:style>
  <w:style w:type="character" w:customStyle="1" w:styleId="105">
    <w:name w:val="不明显参考1"/>
    <w:autoRedefine/>
    <w:qFormat/>
    <w:uiPriority w:val="99"/>
    <w:rPr>
      <w:smallCaps/>
      <w:color w:val="auto"/>
      <w:u w:val="single"/>
    </w:rPr>
  </w:style>
  <w:style w:type="character" w:customStyle="1" w:styleId="106">
    <w:name w:val="批注框文本 Char1"/>
    <w:autoRedefine/>
    <w:qFormat/>
    <w:uiPriority w:val="99"/>
    <w:rPr>
      <w:kern w:val="2"/>
      <w:sz w:val="18"/>
    </w:rPr>
  </w:style>
  <w:style w:type="character" w:customStyle="1" w:styleId="107">
    <w:name w:val="不明显强调1"/>
    <w:autoRedefine/>
    <w:qFormat/>
    <w:uiPriority w:val="99"/>
    <w:rPr>
      <w:i/>
      <w:color w:val="808080"/>
    </w:rPr>
  </w:style>
  <w:style w:type="character" w:customStyle="1" w:styleId="108">
    <w:name w:val="标题4 Char Char"/>
    <w:link w:val="109"/>
    <w:autoRedefine/>
    <w:qFormat/>
    <w:locked/>
    <w:uiPriority w:val="99"/>
    <w:rPr>
      <w:rFonts w:ascii="Arial" w:hAnsi="Arial"/>
      <w:b/>
      <w:sz w:val="32"/>
    </w:rPr>
  </w:style>
  <w:style w:type="paragraph" w:customStyle="1" w:styleId="109">
    <w:name w:val="标题4"/>
    <w:basedOn w:val="7"/>
    <w:next w:val="23"/>
    <w:link w:val="108"/>
    <w:autoRedefine/>
    <w:qFormat/>
    <w:uiPriority w:val="99"/>
    <w:pPr>
      <w:spacing w:line="413" w:lineRule="auto"/>
    </w:pPr>
    <w:rPr>
      <w:rFonts w:eastAsia="宋体" w:cs="Times New Roman"/>
      <w:bCs w:val="0"/>
      <w:kern w:val="0"/>
      <w:szCs w:val="20"/>
    </w:rPr>
  </w:style>
  <w:style w:type="character" w:customStyle="1" w:styleId="110">
    <w:name w:val="书籍标题1"/>
    <w:autoRedefine/>
    <w:qFormat/>
    <w:uiPriority w:val="99"/>
    <w:rPr>
      <w:b/>
      <w:smallCaps/>
      <w:spacing w:val="5"/>
    </w:rPr>
  </w:style>
  <w:style w:type="character" w:customStyle="1" w:styleId="111">
    <w:name w:val="bigfont"/>
    <w:basedOn w:val="49"/>
    <w:autoRedefine/>
    <w:qFormat/>
    <w:uiPriority w:val="99"/>
    <w:rPr>
      <w:rFonts w:cs="Times New Roman"/>
    </w:rPr>
  </w:style>
  <w:style w:type="character" w:customStyle="1" w:styleId="112">
    <w:name w:val="news_title1"/>
    <w:autoRedefine/>
    <w:qFormat/>
    <w:uiPriority w:val="99"/>
    <w:rPr>
      <w:rFonts w:ascii="宋体" w:hAnsi="宋体" w:eastAsia="宋体"/>
      <w:b/>
      <w:color w:val="000000"/>
      <w:sz w:val="36"/>
      <w:u w:val="none"/>
    </w:rPr>
  </w:style>
  <w:style w:type="character" w:customStyle="1" w:styleId="113">
    <w:name w:val="标题5 Char Char"/>
    <w:link w:val="114"/>
    <w:autoRedefine/>
    <w:qFormat/>
    <w:locked/>
    <w:uiPriority w:val="99"/>
    <w:rPr>
      <w:rFonts w:ascii="Arial" w:hAnsi="Arial"/>
      <w:b/>
      <w:sz w:val="32"/>
    </w:rPr>
  </w:style>
  <w:style w:type="paragraph" w:customStyle="1" w:styleId="114">
    <w:name w:val="标题5"/>
    <w:basedOn w:val="8"/>
    <w:link w:val="113"/>
    <w:autoRedefine/>
    <w:qFormat/>
    <w:uiPriority w:val="99"/>
    <w:pPr>
      <w:spacing w:line="413" w:lineRule="auto"/>
    </w:pPr>
    <w:rPr>
      <w:rFonts w:ascii="Arial" w:hAnsi="Arial"/>
      <w:bCs w:val="0"/>
      <w:kern w:val="0"/>
      <w:szCs w:val="20"/>
    </w:rPr>
  </w:style>
  <w:style w:type="character" w:customStyle="1" w:styleId="115">
    <w:name w:val="font161"/>
    <w:autoRedefine/>
    <w:qFormat/>
    <w:uiPriority w:val="99"/>
    <w:rPr>
      <w:b/>
      <w:sz w:val="32"/>
    </w:rPr>
  </w:style>
  <w:style w:type="character" w:customStyle="1" w:styleId="116">
    <w:name w:val="标题 2 Char Char"/>
    <w:autoRedefine/>
    <w:qFormat/>
    <w:locked/>
    <w:uiPriority w:val="99"/>
    <w:rPr>
      <w:rFonts w:ascii="Arial" w:hAnsi="Arial" w:eastAsia="黑体"/>
      <w:b/>
      <w:kern w:val="2"/>
      <w:sz w:val="32"/>
      <w:lang w:val="en-US" w:eastAsia="zh-CN"/>
    </w:rPr>
  </w:style>
  <w:style w:type="character" w:customStyle="1" w:styleId="117">
    <w:name w:val="Char Char1"/>
    <w:autoRedefine/>
    <w:qFormat/>
    <w:uiPriority w:val="99"/>
    <w:rPr>
      <w:rFonts w:ascii="宋体" w:hAnsi="Times New Roman"/>
      <w:sz w:val="28"/>
    </w:rPr>
  </w:style>
  <w:style w:type="character" w:customStyle="1" w:styleId="118">
    <w:name w:val="明显引用 Char"/>
    <w:link w:val="119"/>
    <w:autoRedefine/>
    <w:qFormat/>
    <w:locked/>
    <w:uiPriority w:val="99"/>
    <w:rPr>
      <w:b/>
      <w:i/>
      <w:color w:val="4F81BD"/>
      <w:kern w:val="2"/>
      <w:sz w:val="22"/>
    </w:rPr>
  </w:style>
  <w:style w:type="paragraph" w:customStyle="1" w:styleId="119">
    <w:name w:val="明显引用1"/>
    <w:basedOn w:val="1"/>
    <w:next w:val="1"/>
    <w:link w:val="118"/>
    <w:autoRedefine/>
    <w:qFormat/>
    <w:uiPriority w:val="99"/>
    <w:pPr>
      <w:pBdr>
        <w:bottom w:val="single" w:color="4F81BD" w:sz="4" w:space="4"/>
      </w:pBdr>
      <w:spacing w:before="200" w:after="280"/>
      <w:ind w:left="936" w:right="936"/>
    </w:pPr>
    <w:rPr>
      <w:b/>
      <w:i/>
      <w:color w:val="4F81BD"/>
      <w:sz w:val="22"/>
      <w:szCs w:val="20"/>
    </w:rPr>
  </w:style>
  <w:style w:type="character" w:customStyle="1" w:styleId="120">
    <w:name w:val="批注主题 Char1"/>
    <w:autoRedefine/>
    <w:qFormat/>
    <w:uiPriority w:val="99"/>
    <w:rPr>
      <w:b/>
      <w:kern w:val="2"/>
      <w:sz w:val="22"/>
    </w:rPr>
  </w:style>
  <w:style w:type="character" w:customStyle="1" w:styleId="121">
    <w:name w:val="正文文本 Char1"/>
    <w:autoRedefine/>
    <w:qFormat/>
    <w:uiPriority w:val="99"/>
    <w:rPr>
      <w:kern w:val="2"/>
      <w:sz w:val="22"/>
    </w:rPr>
  </w:style>
  <w:style w:type="paragraph" w:customStyle="1" w:styleId="122">
    <w:name w:val="默认段落字体 Para Char Char Char Char"/>
    <w:basedOn w:val="1"/>
    <w:autoRedefine/>
    <w:qFormat/>
    <w:uiPriority w:val="99"/>
  </w:style>
  <w:style w:type="paragraph" w:customStyle="1" w:styleId="123">
    <w:name w:val="Char Char Char Char Char Char Char Char Char Char Char Char Char"/>
    <w:basedOn w:val="1"/>
    <w:autoRedefine/>
    <w:qFormat/>
    <w:uiPriority w:val="99"/>
  </w:style>
  <w:style w:type="paragraph" w:customStyle="1" w:styleId="124">
    <w:name w:val="样式 标题 3 + (中文) 黑体 小四 非加粗 段前: 7.8 磅 段后: 0 磅 行距: 固定值 20 磅"/>
    <w:basedOn w:val="8"/>
    <w:autoRedefine/>
    <w:qFormat/>
    <w:uiPriority w:val="99"/>
    <w:pPr>
      <w:spacing w:before="0" w:after="0" w:line="400" w:lineRule="exact"/>
    </w:pPr>
    <w:rPr>
      <w:rFonts w:eastAsia="黑体"/>
      <w:b w:val="0"/>
      <w:bCs w:val="0"/>
      <w:sz w:val="24"/>
      <w:szCs w:val="24"/>
    </w:rPr>
  </w:style>
  <w:style w:type="paragraph" w:customStyle="1" w:styleId="125">
    <w:name w:val="表格文字"/>
    <w:basedOn w:val="1"/>
    <w:autoRedefine/>
    <w:qFormat/>
    <w:uiPriority w:val="99"/>
    <w:pPr>
      <w:adjustRightInd w:val="0"/>
      <w:spacing w:line="420" w:lineRule="atLeast"/>
      <w:jc w:val="left"/>
      <w:textAlignment w:val="baseline"/>
    </w:pPr>
    <w:rPr>
      <w:kern w:val="0"/>
    </w:rPr>
  </w:style>
  <w:style w:type="paragraph" w:customStyle="1" w:styleId="126">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27">
    <w:name w:val="Char"/>
    <w:basedOn w:val="1"/>
    <w:next w:val="1"/>
    <w:autoRedefine/>
    <w:qFormat/>
    <w:uiPriority w:val="99"/>
    <w:pPr>
      <w:widowControl/>
      <w:spacing w:line="360" w:lineRule="auto"/>
      <w:jc w:val="left"/>
    </w:pPr>
    <w:rPr>
      <w:kern w:val="0"/>
      <w:lang w:eastAsia="en-US"/>
    </w:rPr>
  </w:style>
  <w:style w:type="paragraph" w:customStyle="1" w:styleId="128">
    <w:name w:val="样式2"/>
    <w:basedOn w:val="8"/>
    <w:autoRedefine/>
    <w:qFormat/>
    <w:uiPriority w:val="99"/>
    <w:pPr>
      <w:spacing w:line="413" w:lineRule="auto"/>
    </w:pPr>
  </w:style>
  <w:style w:type="paragraph" w:customStyle="1" w:styleId="129">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30">
    <w:name w:val="表格"/>
    <w:basedOn w:val="1"/>
    <w:autoRedefine/>
    <w:qFormat/>
    <w:uiPriority w:val="99"/>
    <w:pPr>
      <w:jc w:val="center"/>
      <w:textAlignment w:val="center"/>
    </w:pPr>
    <w:rPr>
      <w:rFonts w:ascii="华文细黑" w:hAnsi="华文细黑" w:cs="华文细黑"/>
      <w:kern w:val="0"/>
    </w:rPr>
  </w:style>
  <w:style w:type="paragraph" w:customStyle="1" w:styleId="131">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32">
    <w:name w:val="1"/>
    <w:basedOn w:val="1"/>
    <w:next w:val="1"/>
    <w:autoRedefine/>
    <w:qFormat/>
    <w:uiPriority w:val="99"/>
  </w:style>
  <w:style w:type="paragraph" w:customStyle="1" w:styleId="133">
    <w:name w:val="样式1"/>
    <w:basedOn w:val="8"/>
    <w:autoRedefine/>
    <w:qFormat/>
    <w:uiPriority w:val="99"/>
    <w:pPr>
      <w:spacing w:line="413" w:lineRule="auto"/>
    </w:pPr>
  </w:style>
  <w:style w:type="paragraph" w:customStyle="1" w:styleId="13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5">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36">
    <w:name w:val="样式4"/>
    <w:basedOn w:val="8"/>
    <w:autoRedefine/>
    <w:qFormat/>
    <w:uiPriority w:val="99"/>
    <w:pPr>
      <w:spacing w:line="413" w:lineRule="auto"/>
    </w:pPr>
  </w:style>
  <w:style w:type="paragraph" w:customStyle="1" w:styleId="137">
    <w:name w:val="TOC 标题1"/>
    <w:basedOn w:val="6"/>
    <w:next w:val="1"/>
    <w:autoRedefine/>
    <w:qFormat/>
    <w:uiPriority w:val="99"/>
    <w:pPr>
      <w:spacing w:line="576" w:lineRule="auto"/>
      <w:outlineLvl w:val="9"/>
    </w:pPr>
    <w:rPr>
      <w:rFonts w:ascii="Calibri" w:hAnsi="Calibri" w:cs="Calibri"/>
    </w:rPr>
  </w:style>
  <w:style w:type="paragraph" w:customStyle="1" w:styleId="138">
    <w:name w:val="样式 标题 1 + 黑体 三号 非加粗 居中 段前: 6 磅 段后: 6 磅 行距: 固定值 20 磅"/>
    <w:basedOn w:val="6"/>
    <w:autoRedefine/>
    <w:qFormat/>
    <w:uiPriority w:val="99"/>
    <w:pPr>
      <w:spacing w:before="120" w:after="120" w:line="400" w:lineRule="exact"/>
    </w:pPr>
    <w:rPr>
      <w:rFonts w:ascii="黑体" w:hAnsi="黑体" w:eastAsia="黑体" w:cs="黑体"/>
      <w:b w:val="0"/>
      <w:bCs w:val="0"/>
      <w:sz w:val="32"/>
      <w:szCs w:val="32"/>
    </w:rPr>
  </w:style>
  <w:style w:type="paragraph" w:customStyle="1" w:styleId="139">
    <w:name w:val="样式 标题 2 + Times New Roman 四号 非加粗 段前: 5 磅 段后: 0 磅 行距: 固定值 20..."/>
    <w:basedOn w:val="7"/>
    <w:autoRedefine/>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40">
    <w:name w:val="Char Char Char Char Char Char Char Char Char Char Char Char Char1"/>
    <w:basedOn w:val="17"/>
    <w:autoRedefine/>
    <w:qFormat/>
    <w:uiPriority w:val="99"/>
    <w:rPr>
      <w:rFonts w:ascii="Tahoma" w:hAnsi="Tahoma" w:cs="Tahoma"/>
      <w:sz w:val="24"/>
      <w:szCs w:val="24"/>
      <w:shd w:val="clear" w:color="auto" w:fill="auto"/>
    </w:rPr>
  </w:style>
  <w:style w:type="paragraph" w:customStyle="1" w:styleId="141">
    <w:name w:val="Char1"/>
    <w:basedOn w:val="1"/>
    <w:autoRedefine/>
    <w:qFormat/>
    <w:uiPriority w:val="99"/>
    <w:rPr>
      <w:rFonts w:ascii="Tahoma" w:hAnsi="Tahoma" w:cs="Tahoma"/>
      <w:sz w:val="24"/>
      <w:szCs w:val="24"/>
    </w:rPr>
  </w:style>
  <w:style w:type="paragraph" w:customStyle="1" w:styleId="142">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43">
    <w:name w:val="样式3"/>
    <w:basedOn w:val="8"/>
    <w:autoRedefine/>
    <w:qFormat/>
    <w:uiPriority w:val="99"/>
    <w:pPr>
      <w:spacing w:line="413" w:lineRule="auto"/>
    </w:pPr>
  </w:style>
  <w:style w:type="paragraph" w:customStyle="1" w:styleId="144">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5">
    <w:name w:val="列出段落2"/>
    <w:basedOn w:val="1"/>
    <w:autoRedefine/>
    <w:qFormat/>
    <w:uiPriority w:val="99"/>
    <w:pPr>
      <w:ind w:firstLine="200" w:firstLineChars="200"/>
    </w:pPr>
  </w:style>
  <w:style w:type="paragraph" w:customStyle="1" w:styleId="146">
    <w:name w:val="p0"/>
    <w:basedOn w:val="1"/>
    <w:autoRedefine/>
    <w:qFormat/>
    <w:uiPriority w:val="99"/>
    <w:pPr>
      <w:widowControl/>
    </w:pPr>
    <w:rPr>
      <w:kern w:val="0"/>
    </w:rPr>
  </w:style>
  <w:style w:type="paragraph" w:customStyle="1" w:styleId="147">
    <w:name w:val="节标题"/>
    <w:basedOn w:val="1"/>
    <w:next w:val="1"/>
    <w:autoRedefine/>
    <w:qFormat/>
    <w:uiPriority w:val="99"/>
    <w:pPr>
      <w:widowControl/>
      <w:spacing w:line="289" w:lineRule="atLeast"/>
      <w:jc w:val="center"/>
      <w:textAlignment w:val="baseline"/>
    </w:pPr>
    <w:rPr>
      <w:color w:val="000000"/>
      <w:kern w:val="0"/>
      <w:sz w:val="28"/>
      <w:szCs w:val="20"/>
    </w:rPr>
  </w:style>
  <w:style w:type="paragraph" w:customStyle="1" w:styleId="148">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149">
    <w:name w:val="WPSOffice手动目录 2"/>
    <w:autoRedefine/>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50">
    <w:name w:val="WPSOffice手动目录 3"/>
    <w:autoRedefine/>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51">
    <w:name w:val="font12"/>
    <w:basedOn w:val="49"/>
    <w:autoRedefine/>
    <w:qFormat/>
    <w:uiPriority w:val="0"/>
    <w:rPr>
      <w:rFonts w:hint="eastAsia" w:ascii="仿宋" w:hAnsi="仿宋" w:eastAsia="仿宋" w:cs="仿宋"/>
      <w:b/>
      <w:color w:val="000000"/>
      <w:sz w:val="32"/>
      <w:szCs w:val="32"/>
      <w:u w:val="none"/>
    </w:rPr>
  </w:style>
  <w:style w:type="paragraph" w:customStyle="1" w:styleId="152">
    <w:name w:val="Char1 Char Char Char"/>
    <w:basedOn w:val="1"/>
    <w:autoRedefine/>
    <w:qFormat/>
    <w:uiPriority w:val="0"/>
    <w:pPr>
      <w:widowControl/>
      <w:spacing w:after="160" w:line="240" w:lineRule="exact"/>
      <w:jc w:val="left"/>
    </w:pPr>
    <w:rPr>
      <w:rFonts w:ascii="Verdana" w:hAnsi="Verdana"/>
      <w:kern w:val="0"/>
      <w:sz w:val="30"/>
      <w:szCs w:val="30"/>
      <w:lang w:eastAsia="en-US"/>
    </w:rPr>
  </w:style>
  <w:style w:type="character" w:customStyle="1" w:styleId="153">
    <w:name w:val="font101"/>
    <w:basedOn w:val="49"/>
    <w:autoRedefine/>
    <w:qFormat/>
    <w:uiPriority w:val="0"/>
    <w:rPr>
      <w:rFonts w:hint="default" w:ascii="Times New Roman" w:hAnsi="Times New Roman" w:cs="Times New Roman"/>
      <w:color w:val="000000"/>
      <w:sz w:val="24"/>
      <w:szCs w:val="24"/>
      <w:u w:val="none"/>
    </w:rPr>
  </w:style>
  <w:style w:type="character" w:customStyle="1" w:styleId="154">
    <w:name w:val="font111"/>
    <w:basedOn w:val="49"/>
    <w:autoRedefine/>
    <w:qFormat/>
    <w:uiPriority w:val="0"/>
    <w:rPr>
      <w:rFonts w:ascii="仿宋_GB2312" w:eastAsia="仿宋_GB2312" w:cs="仿宋_GB2312"/>
      <w:color w:val="000000"/>
      <w:sz w:val="24"/>
      <w:szCs w:val="24"/>
      <w:u w:val="none"/>
    </w:rPr>
  </w:style>
  <w:style w:type="character" w:customStyle="1" w:styleId="155">
    <w:name w:val="font91"/>
    <w:basedOn w:val="49"/>
    <w:autoRedefine/>
    <w:qFormat/>
    <w:uiPriority w:val="0"/>
    <w:rPr>
      <w:rFonts w:hint="eastAsia" w:ascii="仿宋" w:hAnsi="仿宋" w:eastAsia="仿宋" w:cs="仿宋"/>
      <w:color w:val="000000"/>
      <w:sz w:val="24"/>
      <w:szCs w:val="24"/>
      <w:u w:val="single"/>
    </w:rPr>
  </w:style>
  <w:style w:type="character" w:customStyle="1" w:styleId="156">
    <w:name w:val="font81"/>
    <w:basedOn w:val="49"/>
    <w:autoRedefine/>
    <w:qFormat/>
    <w:uiPriority w:val="0"/>
    <w:rPr>
      <w:rFonts w:hint="eastAsia" w:ascii="仿宋" w:hAnsi="仿宋" w:eastAsia="仿宋" w:cs="仿宋"/>
      <w:color w:val="000000"/>
      <w:sz w:val="24"/>
      <w:szCs w:val="24"/>
      <w:u w:val="none"/>
    </w:rPr>
  </w:style>
  <w:style w:type="paragraph" w:customStyle="1" w:styleId="157">
    <w:name w:val="Table Paragraph"/>
    <w:basedOn w:val="1"/>
    <w:autoRedefine/>
    <w:qFormat/>
    <w:uiPriority w:val="1"/>
    <w:pPr>
      <w:autoSpaceDE w:val="0"/>
      <w:autoSpaceDN w:val="0"/>
      <w:jc w:val="left"/>
    </w:pPr>
    <w:rPr>
      <w:rFonts w:ascii="宋体" w:hAnsi="宋体" w:cs="宋体"/>
      <w:kern w:val="0"/>
      <w:sz w:val="22"/>
      <w:szCs w:val="22"/>
    </w:rPr>
  </w:style>
  <w:style w:type="character" w:customStyle="1" w:styleId="158">
    <w:name w:val="font21"/>
    <w:basedOn w:val="49"/>
    <w:autoRedefine/>
    <w:qFormat/>
    <w:uiPriority w:val="0"/>
    <w:rPr>
      <w:rFonts w:ascii="宋体" w:hAnsi="宋体" w:eastAsia="宋体" w:cs="宋体"/>
      <w:b/>
      <w:bCs/>
      <w:color w:val="000000"/>
      <w:sz w:val="18"/>
      <w:szCs w:val="18"/>
      <w:u w:val="none"/>
    </w:rPr>
  </w:style>
  <w:style w:type="character" w:customStyle="1" w:styleId="159">
    <w:name w:val="font31"/>
    <w:basedOn w:val="49"/>
    <w:autoRedefine/>
    <w:qFormat/>
    <w:uiPriority w:val="0"/>
    <w:rPr>
      <w:rFonts w:ascii="宋体" w:hAnsi="宋体" w:eastAsia="宋体" w:cs="宋体"/>
      <w:color w:val="000000"/>
      <w:sz w:val="18"/>
      <w:szCs w:val="18"/>
      <w:u w:val="none"/>
    </w:rPr>
  </w:style>
  <w:style w:type="character" w:customStyle="1" w:styleId="160">
    <w:name w:val="font41"/>
    <w:basedOn w:val="49"/>
    <w:autoRedefine/>
    <w:qFormat/>
    <w:uiPriority w:val="0"/>
    <w:rPr>
      <w:rFonts w:ascii="宋体" w:hAnsi="宋体" w:eastAsia="宋体" w:cs="宋体"/>
      <w:color w:val="000000"/>
      <w:sz w:val="16"/>
      <w:szCs w:val="16"/>
      <w:u w:val="none"/>
    </w:rPr>
  </w:style>
  <w:style w:type="paragraph" w:customStyle="1" w:styleId="161">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47</Pages>
  <Words>23000</Words>
  <Characters>24515</Characters>
  <Lines>0</Lines>
  <Paragraphs>0</Paragraphs>
  <TotalTime>7</TotalTime>
  <ScaleCrop>false</ScaleCrop>
  <LinksUpToDate>false</LinksUpToDate>
  <CharactersWithSpaces>26180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毛毛</cp:lastModifiedBy>
  <cp:lastPrinted>2022-05-12T10:33:00Z</cp:lastPrinted>
  <dcterms:modified xsi:type="dcterms:W3CDTF">2024-07-29T07:10:38Z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4F403931894E437F80EF16419C10C226</vt:lpwstr>
  </property>
</Properties>
</file>