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BF7DD">
      <w:pPr>
        <w:jc w:val="center"/>
        <w:rPr>
          <w:rFonts w:hint="eastAsia" w:ascii="仿宋_GB2312" w:hAnsi="宋体" w:eastAsia="仿宋_GB2312"/>
          <w:b/>
          <w:sz w:val="24"/>
        </w:rPr>
      </w:pPr>
      <w:r>
        <w:rPr>
          <w:rFonts w:hint="eastAsia" w:ascii="仿宋_GB2312" w:hAnsi="宋体" w:eastAsia="仿宋_GB2312" w:cs="宋体"/>
          <w:b/>
          <w:bCs/>
          <w:color w:val="000000"/>
          <w:kern w:val="0"/>
          <w:sz w:val="32"/>
          <w:szCs w:val="32"/>
        </w:rPr>
        <w:t>编制说明</w:t>
      </w:r>
    </w:p>
    <w:p w14:paraId="2710C482">
      <w:pPr>
        <w:spacing w:line="460" w:lineRule="exact"/>
        <w:rPr>
          <w:rFonts w:hint="eastAsia" w:ascii="仿宋_GB2312" w:hAnsi="宋体" w:eastAsia="仿宋_GB2312"/>
          <w:b/>
          <w:sz w:val="24"/>
        </w:rPr>
      </w:pPr>
      <w:r>
        <w:rPr>
          <w:rFonts w:hint="eastAsia" w:ascii="仿宋_GB2312" w:hAnsi="宋体" w:eastAsia="仿宋_GB2312"/>
          <w:b/>
          <w:sz w:val="24"/>
        </w:rPr>
        <w:t>一、工程概况</w:t>
      </w:r>
    </w:p>
    <w:p w14:paraId="494F865E">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工程名称：中新苏滁高新技术工业坊湖州路厂区设计项目，本项目位于滁州市,主要内容为：新建C1~C11厂房及门卫，其中C1建筑面积为3036.80平方米，地下一层，地上三层；C2~C11建筑面积均为2853.79平方米，地上均为三层，门卫建筑面积为44.2平方米，地上一层，</w:t>
      </w:r>
      <w:r>
        <w:rPr>
          <w:rFonts w:hint="eastAsia" w:ascii="仿宋" w:hAnsi="仿宋" w:eastAsia="仿宋" w:cs="仿宋"/>
          <w:kern w:val="2"/>
          <w:lang w:val="en-US" w:eastAsia="zh-CN"/>
        </w:rPr>
        <w:t>内容包括</w:t>
      </w:r>
      <w:r>
        <w:rPr>
          <w:rFonts w:hint="eastAsia" w:ascii="仿宋" w:hAnsi="仿宋" w:eastAsia="仿宋" w:cs="仿宋"/>
          <w:kern w:val="2"/>
        </w:rPr>
        <w:t>C1~C11厂房及门卫</w:t>
      </w:r>
      <w:r>
        <w:rPr>
          <w:rFonts w:hint="eastAsia" w:ascii="仿宋" w:hAnsi="仿宋" w:eastAsia="仿宋" w:cs="仿宋"/>
          <w:kern w:val="2"/>
          <w:lang w:val="en-US" w:eastAsia="zh-CN"/>
        </w:rPr>
        <w:t>楼梯护栏，窗边护栏、楼面护栏、钢制爬梯、轻钢雨棚等</w:t>
      </w:r>
      <w:r>
        <w:rPr>
          <w:rFonts w:hint="eastAsia" w:ascii="仿宋" w:hAnsi="仿宋" w:eastAsia="仿宋" w:cs="仿宋"/>
          <w:kern w:val="2"/>
        </w:rPr>
        <w:t>具体详见设计文件及工程量清单内容等。</w:t>
      </w:r>
    </w:p>
    <w:p w14:paraId="0AE2A782">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p>
    <w:p w14:paraId="3440D429">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lang w:val="en-US" w:eastAsia="zh-CN"/>
        </w:rPr>
        <w:t>施工</w:t>
      </w:r>
      <w:r>
        <w:rPr>
          <w:rFonts w:hint="eastAsia" w:ascii="仿宋" w:hAnsi="仿宋" w:eastAsia="仿宋" w:cs="仿宋"/>
          <w:kern w:val="2"/>
        </w:rPr>
        <w:t>范围：中新苏滁高新技术工业坊湖州路厂区设计项目C1~C11厂房及门卫</w:t>
      </w:r>
      <w:r>
        <w:rPr>
          <w:rFonts w:hint="eastAsia" w:ascii="仿宋" w:hAnsi="仿宋" w:eastAsia="仿宋" w:cs="仿宋"/>
          <w:kern w:val="2"/>
          <w:lang w:eastAsia="zh-CN"/>
        </w:rPr>
        <w:t>，</w:t>
      </w:r>
      <w:r>
        <w:rPr>
          <w:rFonts w:hint="eastAsia" w:ascii="仿宋" w:hAnsi="仿宋" w:eastAsia="仿宋" w:cs="仿宋"/>
          <w:kern w:val="2"/>
          <w:lang w:val="en-US" w:eastAsia="zh-CN"/>
        </w:rPr>
        <w:t>楼梯护栏，窗边护栏、楼面护栏、钢制爬梯、轻钢雨棚等</w:t>
      </w:r>
      <w:r>
        <w:rPr>
          <w:rFonts w:hint="eastAsia" w:ascii="仿宋" w:hAnsi="仿宋" w:eastAsia="仿宋" w:cs="仿宋"/>
          <w:kern w:val="2"/>
        </w:rPr>
        <w:t>。</w:t>
      </w:r>
    </w:p>
    <w:p w14:paraId="3617E9A2">
      <w:pPr>
        <w:spacing w:line="46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sz w:val="24"/>
        </w:rPr>
        <w:t>三、</w:t>
      </w:r>
      <w:r>
        <w:rPr>
          <w:rFonts w:hint="eastAsia" w:ascii="宋体" w:hAnsi="宋体" w:cs="宋体"/>
          <w:b/>
          <w:sz w:val="24"/>
        </w:rPr>
        <w:t>编制依据</w:t>
      </w:r>
      <w:r>
        <w:rPr>
          <w:rFonts w:hint="eastAsia" w:asciiTheme="minorEastAsia" w:hAnsiTheme="minorEastAsia" w:eastAsiaTheme="minorEastAsia" w:cstheme="minorEastAsia"/>
          <w:sz w:val="24"/>
        </w:rPr>
        <w:t>：</w:t>
      </w:r>
    </w:p>
    <w:p w14:paraId="4E6AC34B">
      <w:pPr>
        <w:spacing w:line="460" w:lineRule="exact"/>
        <w:ind w:firstLine="480" w:firstLineChars="200"/>
        <w:rPr>
          <w:rFonts w:hint="eastAsia" w:ascii="仿宋" w:hAnsi="仿宋" w:eastAsia="仿宋" w:cs="仿宋"/>
          <w:sz w:val="24"/>
        </w:rPr>
      </w:pPr>
      <w:r>
        <w:rPr>
          <w:rFonts w:hint="eastAsia" w:ascii="仿宋" w:hAnsi="仿宋" w:eastAsia="仿宋" w:cs="仿宋"/>
          <w:sz w:val="24"/>
        </w:rPr>
        <w:t>1、依据招标人提供的招标文件、施工图纸和本工程招标清单中所有内容；</w:t>
      </w:r>
    </w:p>
    <w:p w14:paraId="70D2ED1C">
      <w:pPr>
        <w:spacing w:line="460" w:lineRule="exact"/>
        <w:ind w:firstLine="480" w:firstLineChars="200"/>
        <w:rPr>
          <w:rFonts w:hint="eastAsia" w:ascii="仿宋" w:hAnsi="仿宋" w:eastAsia="仿宋" w:cs="仿宋"/>
          <w:sz w:val="24"/>
        </w:rPr>
      </w:pPr>
      <w:r>
        <w:rPr>
          <w:rFonts w:hint="eastAsia" w:ascii="仿宋" w:hAnsi="仿宋" w:eastAsia="仿宋" w:cs="仿宋"/>
          <w:sz w:val="24"/>
        </w:rPr>
        <w:t>2、《建设工程工程量清单计价规范》(GB50500-2013)；</w:t>
      </w:r>
    </w:p>
    <w:p w14:paraId="66DF3558">
      <w:pPr>
        <w:spacing w:line="460" w:lineRule="exact"/>
        <w:ind w:firstLine="480" w:firstLineChars="200"/>
        <w:rPr>
          <w:rFonts w:hint="eastAsia" w:ascii="仿宋" w:hAnsi="仿宋" w:eastAsia="仿宋" w:cs="仿宋"/>
          <w:sz w:val="24"/>
        </w:rPr>
      </w:pPr>
      <w:r>
        <w:rPr>
          <w:rFonts w:hint="eastAsia" w:ascii="仿宋" w:hAnsi="仿宋" w:eastAsia="仿宋" w:cs="仿宋"/>
          <w:sz w:val="24"/>
        </w:rPr>
        <w:t>3、2018版《安徽省建设工程工程量清单计价办法》；</w:t>
      </w:r>
    </w:p>
    <w:p w14:paraId="1C0E59A5">
      <w:pPr>
        <w:spacing w:line="460" w:lineRule="exact"/>
        <w:ind w:firstLine="480" w:firstLineChars="200"/>
        <w:rPr>
          <w:rFonts w:hint="eastAsia" w:ascii="仿宋" w:hAnsi="仿宋" w:eastAsia="仿宋" w:cs="仿宋"/>
          <w:sz w:val="24"/>
        </w:rPr>
      </w:pPr>
      <w:r>
        <w:rPr>
          <w:rFonts w:hint="eastAsia" w:ascii="仿宋" w:hAnsi="仿宋" w:eastAsia="仿宋" w:cs="仿宋"/>
          <w:sz w:val="24"/>
        </w:rPr>
        <w:t>4、2018版《安徽省建设工程费用定额》；</w:t>
      </w:r>
    </w:p>
    <w:p w14:paraId="6D91DF43">
      <w:pPr>
        <w:spacing w:line="460" w:lineRule="exact"/>
        <w:ind w:firstLine="480" w:firstLineChars="200"/>
        <w:rPr>
          <w:rFonts w:hint="eastAsia" w:ascii="仿宋" w:hAnsi="仿宋" w:eastAsia="仿宋" w:cs="仿宋"/>
          <w:sz w:val="24"/>
        </w:rPr>
      </w:pPr>
      <w:r>
        <w:rPr>
          <w:rFonts w:hint="eastAsia" w:ascii="仿宋" w:hAnsi="仿宋" w:eastAsia="仿宋" w:cs="仿宋"/>
          <w:sz w:val="24"/>
        </w:rPr>
        <w:t>5、2018版《安徽省建设工程施工机械台班费用编制规则》；</w:t>
      </w:r>
    </w:p>
    <w:p w14:paraId="102F02C1">
      <w:pPr>
        <w:spacing w:line="460" w:lineRule="exact"/>
        <w:ind w:firstLine="480" w:firstLineChars="200"/>
        <w:rPr>
          <w:rFonts w:hint="eastAsia" w:ascii="仿宋" w:hAnsi="仿宋" w:eastAsia="仿宋" w:cs="仿宋"/>
          <w:sz w:val="24"/>
        </w:rPr>
      </w:pPr>
      <w:r>
        <w:rPr>
          <w:rFonts w:hint="eastAsia" w:ascii="仿宋" w:hAnsi="仿宋" w:eastAsia="仿宋" w:cs="仿宋"/>
          <w:sz w:val="24"/>
        </w:rPr>
        <w:t>6、2018版《安徽省建设工程计价依据修订内容》；</w:t>
      </w:r>
    </w:p>
    <w:p w14:paraId="768971DD">
      <w:pPr>
        <w:spacing w:line="460" w:lineRule="exact"/>
        <w:ind w:firstLine="480" w:firstLineChars="200"/>
        <w:rPr>
          <w:rFonts w:hint="eastAsia" w:ascii="仿宋" w:hAnsi="仿宋" w:eastAsia="仿宋" w:cs="仿宋"/>
          <w:sz w:val="24"/>
        </w:rPr>
      </w:pPr>
      <w:r>
        <w:rPr>
          <w:rFonts w:hint="eastAsia" w:ascii="仿宋" w:hAnsi="仿宋" w:eastAsia="仿宋" w:cs="仿宋"/>
          <w:sz w:val="24"/>
        </w:rPr>
        <w:t>7、2018版安徽省建设工程计价依据</w:t>
      </w:r>
    </w:p>
    <w:p w14:paraId="11E21DA1">
      <w:pPr>
        <w:spacing w:line="460" w:lineRule="exact"/>
        <w:ind w:firstLine="480" w:firstLineChars="200"/>
        <w:rPr>
          <w:rFonts w:hint="eastAsia" w:ascii="仿宋" w:hAnsi="仿宋" w:eastAsia="仿宋" w:cs="仿宋"/>
          <w:sz w:val="24"/>
        </w:rPr>
      </w:pPr>
      <w:r>
        <w:rPr>
          <w:rFonts w:hint="eastAsia" w:ascii="仿宋" w:hAnsi="仿宋" w:eastAsia="仿宋" w:cs="仿宋"/>
          <w:sz w:val="24"/>
        </w:rPr>
        <w:t>（1）《安徽省建设工程计价定额（共用册）》；</w:t>
      </w:r>
    </w:p>
    <w:p w14:paraId="2A976429">
      <w:pPr>
        <w:spacing w:line="460" w:lineRule="exact"/>
        <w:ind w:firstLine="480" w:firstLineChars="200"/>
        <w:rPr>
          <w:rFonts w:hint="eastAsia" w:ascii="仿宋" w:hAnsi="仿宋" w:eastAsia="仿宋" w:cs="仿宋"/>
          <w:sz w:val="24"/>
        </w:rPr>
      </w:pPr>
      <w:r>
        <w:rPr>
          <w:rFonts w:hint="eastAsia" w:ascii="仿宋" w:hAnsi="仿宋" w:eastAsia="仿宋" w:cs="仿宋"/>
          <w:sz w:val="24"/>
        </w:rPr>
        <w:t>（2）《安徽省建筑工程计价定额》；</w:t>
      </w:r>
    </w:p>
    <w:p w14:paraId="0CEA34FE">
      <w:pPr>
        <w:spacing w:line="460" w:lineRule="exact"/>
        <w:ind w:firstLine="480" w:firstLineChars="200"/>
        <w:rPr>
          <w:rFonts w:hint="eastAsia" w:ascii="仿宋" w:hAnsi="仿宋" w:eastAsia="仿宋" w:cs="仿宋"/>
          <w:sz w:val="24"/>
        </w:rPr>
      </w:pPr>
      <w:r>
        <w:rPr>
          <w:rFonts w:hint="eastAsia" w:ascii="仿宋" w:hAnsi="仿宋" w:eastAsia="仿宋" w:cs="仿宋"/>
          <w:sz w:val="24"/>
        </w:rPr>
        <w:t>（3）《安徽省装饰工程计价定额》；</w:t>
      </w:r>
    </w:p>
    <w:p w14:paraId="0FFF9B50">
      <w:pPr>
        <w:spacing w:line="460" w:lineRule="exact"/>
        <w:ind w:firstLine="480" w:firstLineChars="200"/>
        <w:rPr>
          <w:rFonts w:hint="eastAsia" w:ascii="仿宋" w:hAnsi="仿宋" w:eastAsia="仿宋" w:cs="仿宋"/>
          <w:sz w:val="24"/>
        </w:rPr>
      </w:pPr>
      <w:r>
        <w:rPr>
          <w:rFonts w:hint="eastAsia" w:ascii="仿宋" w:hAnsi="仿宋" w:eastAsia="仿宋" w:cs="仿宋"/>
          <w:sz w:val="24"/>
        </w:rPr>
        <w:t>（4）《安徽省安装工程计价定额》；</w:t>
      </w:r>
    </w:p>
    <w:p w14:paraId="5BF617E3">
      <w:pPr>
        <w:spacing w:line="460" w:lineRule="exact"/>
        <w:ind w:firstLine="480" w:firstLineChars="200"/>
        <w:rPr>
          <w:rFonts w:hint="eastAsia" w:ascii="仿宋" w:hAnsi="仿宋" w:eastAsia="仿宋" w:cs="仿宋"/>
          <w:sz w:val="24"/>
        </w:rPr>
      </w:pPr>
      <w:r>
        <w:rPr>
          <w:rFonts w:hint="eastAsia" w:ascii="仿宋" w:hAnsi="仿宋" w:eastAsia="仿宋" w:cs="仿宋"/>
          <w:sz w:val="24"/>
        </w:rPr>
        <w:t>（5）《安徽省市政工程计价定额》；</w:t>
      </w:r>
    </w:p>
    <w:p w14:paraId="0AFF58C7">
      <w:pPr>
        <w:spacing w:line="460" w:lineRule="exact"/>
        <w:ind w:firstLine="480" w:firstLineChars="200"/>
        <w:rPr>
          <w:rFonts w:hint="eastAsia" w:ascii="仿宋" w:hAnsi="仿宋" w:eastAsia="仿宋" w:cs="仿宋"/>
          <w:sz w:val="24"/>
        </w:rPr>
      </w:pPr>
      <w:r>
        <w:rPr>
          <w:rFonts w:hint="eastAsia" w:ascii="仿宋" w:hAnsi="仿宋" w:eastAsia="仿宋" w:cs="仿宋"/>
          <w:sz w:val="24"/>
        </w:rPr>
        <w:t>（6）《安徽省园林绿化工程计价定额》；</w:t>
      </w:r>
    </w:p>
    <w:p w14:paraId="00FD80B2">
      <w:pPr>
        <w:spacing w:line="460" w:lineRule="exact"/>
        <w:ind w:firstLine="480" w:firstLineChars="200"/>
        <w:rPr>
          <w:rFonts w:hint="eastAsia" w:ascii="仿宋" w:hAnsi="仿宋" w:eastAsia="仿宋" w:cs="仿宋"/>
          <w:sz w:val="24"/>
        </w:rPr>
      </w:pPr>
      <w:r>
        <w:rPr>
          <w:rFonts w:hint="eastAsia" w:ascii="仿宋" w:hAnsi="仿宋" w:eastAsia="仿宋" w:cs="仿宋"/>
          <w:sz w:val="24"/>
        </w:rPr>
        <w:t>8、省、市截止2023年9月的有关政策性文件。</w:t>
      </w:r>
    </w:p>
    <w:p w14:paraId="183EDB33">
      <w:pPr>
        <w:spacing w:line="460" w:lineRule="exact"/>
        <w:rPr>
          <w:rFonts w:hint="eastAsia" w:ascii="宋体" w:hAnsi="宋体" w:cs="宋体"/>
          <w:b/>
          <w:bCs/>
          <w:kern w:val="0"/>
          <w:sz w:val="24"/>
        </w:rPr>
      </w:pPr>
      <w:r>
        <w:rPr>
          <w:rFonts w:hint="eastAsia" w:ascii="宋体" w:hAnsi="宋体" w:cs="宋体"/>
          <w:b/>
          <w:bCs/>
          <w:kern w:val="0"/>
          <w:sz w:val="24"/>
        </w:rPr>
        <w:t>四、取费标准：</w:t>
      </w:r>
    </w:p>
    <w:p w14:paraId="3E6BDF49">
      <w:pPr>
        <w:spacing w:line="460" w:lineRule="exact"/>
        <w:ind w:firstLine="480" w:firstLineChars="200"/>
        <w:rPr>
          <w:rFonts w:hint="eastAsia" w:ascii="仿宋" w:hAnsi="仿宋" w:eastAsia="仿宋" w:cs="仿宋"/>
          <w:sz w:val="24"/>
        </w:rPr>
      </w:pPr>
      <w:r>
        <w:rPr>
          <w:rFonts w:hint="eastAsia" w:ascii="仿宋" w:hAnsi="仿宋" w:eastAsia="仿宋" w:cs="仿宋"/>
          <w:sz w:val="24"/>
        </w:rPr>
        <w:t>1、执行2018版《安徽省建设工程费用定额》；</w:t>
      </w:r>
    </w:p>
    <w:p w14:paraId="4B61DBDB">
      <w:pPr>
        <w:spacing w:line="460" w:lineRule="exact"/>
        <w:ind w:firstLine="480" w:firstLineChars="200"/>
        <w:rPr>
          <w:rFonts w:hint="eastAsia" w:ascii="仿宋" w:hAnsi="仿宋" w:eastAsia="仿宋" w:cs="仿宋"/>
          <w:sz w:val="24"/>
        </w:rPr>
      </w:pPr>
      <w:r>
        <w:rPr>
          <w:rFonts w:hint="eastAsia" w:ascii="仿宋" w:hAnsi="仿宋" w:eastAsia="仿宋" w:cs="仿宋"/>
          <w:sz w:val="24"/>
        </w:rPr>
        <w:t>2、税金执行造价【2019】7号文件按9%计入；</w:t>
      </w:r>
    </w:p>
    <w:p w14:paraId="043C4B1C">
      <w:pPr>
        <w:spacing w:line="460" w:lineRule="exact"/>
        <w:ind w:firstLine="480" w:firstLineChars="200"/>
        <w:rPr>
          <w:rFonts w:hint="eastAsia" w:ascii="仿宋" w:hAnsi="仿宋" w:eastAsia="仿宋" w:cs="仿宋"/>
          <w:sz w:val="24"/>
        </w:rPr>
      </w:pPr>
      <w:r>
        <w:rPr>
          <w:rFonts w:hint="eastAsia" w:ascii="仿宋" w:hAnsi="仿宋" w:eastAsia="仿宋" w:cs="仿宋"/>
          <w:sz w:val="24"/>
        </w:rPr>
        <w:t>3、不可竞争费文件执行造价[2021]42号；</w:t>
      </w:r>
    </w:p>
    <w:p w14:paraId="181A2FE4">
      <w:pPr>
        <w:spacing w:line="460" w:lineRule="exact"/>
        <w:ind w:firstLine="480" w:firstLineChars="200"/>
        <w:rPr>
          <w:rFonts w:hint="eastAsia" w:ascii="仿宋" w:hAnsi="仿宋" w:eastAsia="仿宋" w:cs="仿宋"/>
          <w:sz w:val="24"/>
        </w:rPr>
      </w:pPr>
      <w:r>
        <w:rPr>
          <w:rFonts w:hint="eastAsia" w:ascii="仿宋" w:hAnsi="仿宋" w:eastAsia="仿宋" w:cs="仿宋"/>
          <w:sz w:val="24"/>
        </w:rPr>
        <w:t>4、人工费按照2023年《滁州市工程造价信息》第三季度159元/工日计入。</w:t>
      </w:r>
    </w:p>
    <w:p w14:paraId="3FABF294">
      <w:pPr>
        <w:pStyle w:val="17"/>
        <w:widowControl/>
        <w:spacing w:beforeAutospacing="0" w:afterAutospacing="0" w:line="460" w:lineRule="exact"/>
        <w:rPr>
          <w:rFonts w:hint="eastAsia" w:ascii="宋体" w:hAnsi="宋体" w:cs="宋体"/>
          <w:b/>
          <w:bCs/>
        </w:rPr>
      </w:pPr>
      <w:r>
        <w:rPr>
          <w:rFonts w:hint="eastAsia" w:ascii="宋体" w:hAnsi="宋体" w:cs="宋体"/>
          <w:b/>
          <w:bCs/>
        </w:rPr>
        <w:t>五、材料价格：</w:t>
      </w:r>
    </w:p>
    <w:p w14:paraId="4285ECCF">
      <w:pPr>
        <w:pStyle w:val="17"/>
        <w:widowControl/>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本次控制价编制材料价格采用2023年第8期滁州信息（不含税价格）中的滁州市本级价格，造价信息上没有的材料价格依次参照合肥、南京信息价及广材网价格，上述也没有的市场询价综合考虑计入本次控制价。</w:t>
      </w:r>
    </w:p>
    <w:p w14:paraId="26DAA142">
      <w:pPr>
        <w:spacing w:line="460" w:lineRule="exact"/>
        <w:rPr>
          <w:rFonts w:hint="eastAsia" w:ascii="宋体" w:hAnsi="宋体" w:cs="宋体"/>
          <w:b/>
          <w:bCs/>
          <w:sz w:val="24"/>
        </w:rPr>
      </w:pPr>
      <w:r>
        <w:rPr>
          <w:rFonts w:hint="eastAsia" w:ascii="宋体" w:hAnsi="宋体" w:cs="宋体"/>
          <w:b/>
          <w:bCs/>
          <w:sz w:val="24"/>
        </w:rPr>
        <w:t>六、编制说明：</w:t>
      </w:r>
    </w:p>
    <w:p w14:paraId="2C693592">
      <w:pPr>
        <w:pStyle w:val="17"/>
        <w:widowControl/>
        <w:numPr>
          <w:ilvl w:val="0"/>
          <w:numId w:val="1"/>
        </w:numPr>
        <w:spacing w:beforeAutospacing="0" w:afterAutospacing="0" w:line="460" w:lineRule="exact"/>
        <w:ind w:firstLine="480" w:firstLineChars="200"/>
        <w:rPr>
          <w:rFonts w:hint="eastAsia" w:ascii="仿宋" w:hAnsi="仿宋" w:eastAsia="仿宋" w:cs="仿宋"/>
          <w:kern w:val="2"/>
        </w:rPr>
      </w:pPr>
      <w:bookmarkStart w:id="0" w:name="_Hlk164517056"/>
      <w:bookmarkStart w:id="1" w:name="_Hlk164517072"/>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14:paraId="5B38FEA6">
      <w:pPr>
        <w:pStyle w:val="17"/>
        <w:widowControl/>
        <w:numPr>
          <w:ilvl w:val="0"/>
          <w:numId w:val="1"/>
        </w:numPr>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p w14:paraId="406A3E59">
      <w:pPr>
        <w:pStyle w:val="17"/>
        <w:widowControl/>
        <w:numPr>
          <w:ilvl w:val="0"/>
          <w:numId w:val="1"/>
        </w:numPr>
        <w:spacing w:beforeAutospacing="0" w:afterAutospacing="0" w:line="460" w:lineRule="exact"/>
        <w:ind w:firstLine="480" w:firstLineChars="200"/>
        <w:rPr>
          <w:rFonts w:hint="eastAsia" w:ascii="仿宋" w:hAnsi="仿宋" w:eastAsia="仿宋" w:cs="仿宋"/>
          <w:kern w:val="2"/>
          <w:lang w:val="en-US" w:eastAsia="zh-CN"/>
        </w:rPr>
      </w:pPr>
      <w:r>
        <w:rPr>
          <w:rFonts w:hint="eastAsia" w:ascii="仿宋" w:hAnsi="仿宋" w:eastAsia="仿宋" w:cs="仿宋"/>
          <w:kern w:val="2"/>
          <w:lang w:val="en-US" w:eastAsia="zh-CN"/>
        </w:rPr>
        <w:t>投标人在投标报价时应充分理解交易文件、图纸、答疑、工程量清单最高投标限价等相关招标资料，充分考虑各种影响报价因素。</w:t>
      </w:r>
    </w:p>
    <w:p w14:paraId="6D238423">
      <w:pPr>
        <w:pStyle w:val="17"/>
        <w:widowControl/>
        <w:numPr>
          <w:ilvl w:val="0"/>
          <w:numId w:val="1"/>
        </w:numPr>
        <w:spacing w:beforeAutospacing="0" w:afterAutospacing="0" w:line="460" w:lineRule="exact"/>
        <w:ind w:firstLine="480" w:firstLineChars="200"/>
        <w:rPr>
          <w:rFonts w:hint="eastAsia" w:ascii="仿宋" w:hAnsi="仿宋" w:eastAsia="仿宋" w:cs="仿宋"/>
          <w:kern w:val="2"/>
        </w:rPr>
      </w:pPr>
      <w:r>
        <w:rPr>
          <w:rFonts w:hint="eastAsia" w:ascii="仿宋" w:hAnsi="仿宋" w:eastAsia="仿宋" w:cs="仿宋"/>
          <w:kern w:val="2"/>
        </w:rPr>
        <w:t>清单描述未明确的，以设计文件和相关施工验收规范、图集要求为准；清单与图纸技术标准不一致的，以较优的技术标准为准</w:t>
      </w:r>
      <w:r>
        <w:rPr>
          <w:rFonts w:hint="eastAsia" w:ascii="仿宋" w:hAnsi="仿宋" w:eastAsia="仿宋" w:cs="仿宋"/>
          <w:kern w:val="2"/>
          <w:lang w:val="en-US" w:eastAsia="zh-CN"/>
        </w:rPr>
        <w:t>;</w:t>
      </w:r>
    </w:p>
    <w:bookmarkEnd w:id="0"/>
    <w:bookmarkEnd w:id="1"/>
    <w:p w14:paraId="0AE46D70">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七、暂列金额及专业工程暂估价</w:t>
      </w:r>
    </w:p>
    <w:p w14:paraId="78471DC7">
      <w:pPr>
        <w:spacing w:line="460" w:lineRule="exact"/>
        <w:ind w:firstLine="480" w:firstLineChars="200"/>
        <w:rPr>
          <w:rFonts w:hint="eastAsia" w:eastAsia="仿宋" w:asciiTheme="minorEastAsia" w:hAnsiTheme="minorEastAsia" w:cstheme="minorEastAsia"/>
          <w:b/>
          <w:bCs/>
          <w:sz w:val="24"/>
          <w:lang w:val="en-US" w:eastAsia="zh-CN"/>
        </w:rPr>
      </w:pPr>
      <w:r>
        <w:rPr>
          <w:rFonts w:hint="eastAsia" w:ascii="仿宋" w:hAnsi="仿宋" w:eastAsia="仿宋" w:cs="仿宋"/>
          <w:sz w:val="24"/>
        </w:rPr>
        <w:t>本项目暂列金额</w:t>
      </w:r>
      <w:r>
        <w:rPr>
          <w:rFonts w:hint="eastAsia" w:ascii="仿宋" w:hAnsi="仿宋" w:eastAsia="仿宋" w:cs="仿宋"/>
          <w:sz w:val="24"/>
          <w:lang w:val="en-US" w:eastAsia="zh-CN"/>
        </w:rPr>
        <w:t>22</w:t>
      </w:r>
      <w:r>
        <w:rPr>
          <w:rFonts w:hint="eastAsia" w:ascii="仿宋" w:hAnsi="仿宋" w:eastAsia="仿宋" w:cs="仿宋"/>
          <w:sz w:val="24"/>
        </w:rPr>
        <w:t>万元</w:t>
      </w:r>
      <w:r>
        <w:rPr>
          <w:rFonts w:hint="eastAsia" w:ascii="仿宋" w:hAnsi="仿宋" w:eastAsia="仿宋" w:cs="仿宋"/>
          <w:sz w:val="24"/>
          <w:lang w:val="en-US" w:eastAsia="zh-CN"/>
        </w:rPr>
        <w:t>.</w:t>
      </w:r>
    </w:p>
    <w:p w14:paraId="5B4E4F0E">
      <w:pPr>
        <w:spacing w:line="460" w:lineRule="exac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八、编制结论</w:t>
      </w:r>
    </w:p>
    <w:p w14:paraId="663BBE59">
      <w:pPr>
        <w:spacing w:line="46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控制价</w:t>
      </w:r>
      <w:r>
        <w:rPr>
          <w:rFonts w:hint="eastAsia" w:ascii="仿宋" w:hAnsi="仿宋" w:eastAsia="仿宋" w:cs="仿宋"/>
          <w:sz w:val="24"/>
        </w:rPr>
        <w:t>小写：</w:t>
      </w:r>
      <w:r>
        <w:rPr>
          <w:rFonts w:hint="eastAsia" w:ascii="仿宋" w:hAnsi="仿宋" w:eastAsia="仿宋" w:cs="仿宋"/>
          <w:sz w:val="24"/>
          <w:lang w:val="en-US" w:eastAsia="zh-CN"/>
        </w:rPr>
        <w:t>1562144.43</w:t>
      </w:r>
      <w:r>
        <w:rPr>
          <w:rFonts w:hint="eastAsia" w:ascii="仿宋" w:hAnsi="仿宋" w:eastAsia="仿宋" w:cs="仿宋"/>
          <w:sz w:val="24"/>
        </w:rPr>
        <w:t>元，大写：</w:t>
      </w:r>
      <w:r>
        <w:rPr>
          <w:rFonts w:hint="eastAsia" w:ascii="仿宋" w:hAnsi="仿宋" w:eastAsia="仿宋" w:cs="仿宋"/>
          <w:sz w:val="24"/>
          <w:lang w:val="en-US" w:eastAsia="zh-CN"/>
        </w:rPr>
        <w:t>壹佰伍拾陆万贰仟壹佰肆拾肆元肆角叁分</w:t>
      </w:r>
      <w:r>
        <w:rPr>
          <w:rFonts w:hint="eastAsia" w:ascii="仿宋" w:hAnsi="仿宋" w:eastAsia="仿宋" w:cs="仿宋"/>
          <w:sz w:val="24"/>
        </w:rPr>
        <w:t xml:space="preserve">。 </w:t>
      </w:r>
    </w:p>
    <w:p w14:paraId="1D025C9D">
      <w:pPr>
        <w:spacing w:line="460" w:lineRule="exact"/>
        <w:ind w:firstLine="480" w:firstLineChars="200"/>
        <w:rPr>
          <w:rFonts w:hint="eastAsia" w:ascii="仿宋" w:hAnsi="仿宋" w:eastAsia="仿宋" w:cs="仿宋"/>
          <w:sz w:val="24"/>
        </w:rPr>
      </w:pPr>
    </w:p>
    <w:p w14:paraId="7EA7A54F">
      <w:pPr>
        <w:pStyle w:val="2"/>
        <w:rPr>
          <w:rFonts w:hint="eastAsia" w:ascii="仿宋" w:hAnsi="仿宋" w:eastAsia="仿宋" w:cs="仿宋"/>
          <w:sz w:val="24"/>
        </w:rPr>
      </w:pPr>
    </w:p>
    <w:p w14:paraId="007DC356">
      <w:pPr>
        <w:rPr>
          <w:rFonts w:hint="eastAsia" w:ascii="仿宋" w:hAnsi="仿宋" w:eastAsia="仿宋" w:cs="仿宋"/>
          <w:sz w:val="24"/>
        </w:rPr>
      </w:pPr>
      <w:bookmarkStart w:id="2" w:name="_GoBack"/>
      <w:bookmarkEnd w:id="2"/>
    </w:p>
    <w:p w14:paraId="73BB62A0">
      <w:pPr>
        <w:jc w:val="right"/>
      </w:pPr>
      <w:r>
        <w:rPr>
          <w:rFonts w:hint="eastAsia" w:ascii="仿宋" w:hAnsi="仿宋" w:eastAsia="仿宋" w:cs="仿宋"/>
          <w:sz w:val="24"/>
        </w:rPr>
        <w:t>2024年</w:t>
      </w:r>
      <w:r>
        <w:rPr>
          <w:rFonts w:hint="eastAsia" w:ascii="仿宋" w:hAnsi="仿宋" w:eastAsia="仿宋" w:cs="仿宋"/>
          <w:sz w:val="24"/>
          <w:lang w:val="en-US" w:eastAsia="zh-CN"/>
        </w:rPr>
        <w:t>10</w:t>
      </w:r>
      <w:r>
        <w:rPr>
          <w:rFonts w:hint="eastAsia" w:ascii="仿宋" w:hAnsi="仿宋" w:eastAsia="仿宋" w:cs="仿宋"/>
          <w:sz w:val="24"/>
        </w:rPr>
        <w:t>月</w:t>
      </w:r>
      <w:r>
        <w:rPr>
          <w:rFonts w:hint="eastAsia" w:ascii="仿宋" w:hAnsi="仿宋" w:eastAsia="仿宋" w:cs="仿宋"/>
          <w:sz w:val="24"/>
          <w:lang w:val="en-US" w:eastAsia="zh-CN"/>
        </w:rPr>
        <w:t>26</w:t>
      </w:r>
      <w:r>
        <w:rPr>
          <w:rFonts w:hint="eastAsia" w:ascii="仿宋" w:hAnsi="仿宋" w:eastAsia="仿宋" w:cs="仿宋"/>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cf7e49e9-a102-4f1e-b188-b3851657f9f9"/>
  </w:docVars>
  <w:rsids>
    <w:rsidRoot w:val="00912A44"/>
    <w:rsid w:val="000573A6"/>
    <w:rsid w:val="0009689C"/>
    <w:rsid w:val="000A7180"/>
    <w:rsid w:val="000B3241"/>
    <w:rsid w:val="000D36D8"/>
    <w:rsid w:val="000E1730"/>
    <w:rsid w:val="00101EB3"/>
    <w:rsid w:val="001526C9"/>
    <w:rsid w:val="00154DCA"/>
    <w:rsid w:val="001812A7"/>
    <w:rsid w:val="00237C18"/>
    <w:rsid w:val="00251BBC"/>
    <w:rsid w:val="00263AD3"/>
    <w:rsid w:val="00285433"/>
    <w:rsid w:val="002C1F12"/>
    <w:rsid w:val="002E34D9"/>
    <w:rsid w:val="003915BB"/>
    <w:rsid w:val="004500C1"/>
    <w:rsid w:val="004C32E4"/>
    <w:rsid w:val="006123C3"/>
    <w:rsid w:val="00620BE2"/>
    <w:rsid w:val="006C5349"/>
    <w:rsid w:val="00715763"/>
    <w:rsid w:val="00746723"/>
    <w:rsid w:val="00821A4E"/>
    <w:rsid w:val="00912A44"/>
    <w:rsid w:val="009328BA"/>
    <w:rsid w:val="009A3AF1"/>
    <w:rsid w:val="009C1456"/>
    <w:rsid w:val="009C2934"/>
    <w:rsid w:val="009D0BF8"/>
    <w:rsid w:val="009D2C84"/>
    <w:rsid w:val="009F5196"/>
    <w:rsid w:val="00A114DC"/>
    <w:rsid w:val="00A476F5"/>
    <w:rsid w:val="00AF1115"/>
    <w:rsid w:val="00B765B2"/>
    <w:rsid w:val="00BB1B65"/>
    <w:rsid w:val="00C306C9"/>
    <w:rsid w:val="00C46D72"/>
    <w:rsid w:val="00C66BC2"/>
    <w:rsid w:val="00D1717B"/>
    <w:rsid w:val="00E24EF4"/>
    <w:rsid w:val="00E97B44"/>
    <w:rsid w:val="00ED1E53"/>
    <w:rsid w:val="00EE1492"/>
    <w:rsid w:val="00F074FF"/>
    <w:rsid w:val="00F14E70"/>
    <w:rsid w:val="00F34D82"/>
    <w:rsid w:val="00FE7141"/>
    <w:rsid w:val="014F32E7"/>
    <w:rsid w:val="0239256C"/>
    <w:rsid w:val="025F5E6B"/>
    <w:rsid w:val="02BE65C6"/>
    <w:rsid w:val="02E031C7"/>
    <w:rsid w:val="04233EDB"/>
    <w:rsid w:val="04710886"/>
    <w:rsid w:val="048C2CF2"/>
    <w:rsid w:val="04AF0B48"/>
    <w:rsid w:val="04D05CEB"/>
    <w:rsid w:val="04E96791"/>
    <w:rsid w:val="04F74542"/>
    <w:rsid w:val="04F9596A"/>
    <w:rsid w:val="051A04B6"/>
    <w:rsid w:val="0558691B"/>
    <w:rsid w:val="057534A8"/>
    <w:rsid w:val="05A866A1"/>
    <w:rsid w:val="062F6EE0"/>
    <w:rsid w:val="06426774"/>
    <w:rsid w:val="06595702"/>
    <w:rsid w:val="06A7239F"/>
    <w:rsid w:val="06B74EC6"/>
    <w:rsid w:val="08713341"/>
    <w:rsid w:val="08F655F4"/>
    <w:rsid w:val="091A7535"/>
    <w:rsid w:val="09D75426"/>
    <w:rsid w:val="09F2400E"/>
    <w:rsid w:val="0B052B16"/>
    <w:rsid w:val="0B0E45DB"/>
    <w:rsid w:val="0B70168E"/>
    <w:rsid w:val="0B93580C"/>
    <w:rsid w:val="0BAE0408"/>
    <w:rsid w:val="0BBC2A21"/>
    <w:rsid w:val="0BBE064B"/>
    <w:rsid w:val="0BC66564"/>
    <w:rsid w:val="0BFF0130"/>
    <w:rsid w:val="0C1D5606"/>
    <w:rsid w:val="0C3954D4"/>
    <w:rsid w:val="0C420457"/>
    <w:rsid w:val="0C6E2D49"/>
    <w:rsid w:val="0C833643"/>
    <w:rsid w:val="0D2E3E1D"/>
    <w:rsid w:val="0D364D6D"/>
    <w:rsid w:val="0D365F0E"/>
    <w:rsid w:val="0D4C13CD"/>
    <w:rsid w:val="0D9D1B1D"/>
    <w:rsid w:val="0DE95727"/>
    <w:rsid w:val="0E0B5A1E"/>
    <w:rsid w:val="0FAB7138"/>
    <w:rsid w:val="0FF95498"/>
    <w:rsid w:val="10730933"/>
    <w:rsid w:val="10BA5B9A"/>
    <w:rsid w:val="10C502F0"/>
    <w:rsid w:val="10CF039B"/>
    <w:rsid w:val="10FD06A8"/>
    <w:rsid w:val="117A14B8"/>
    <w:rsid w:val="11C72224"/>
    <w:rsid w:val="12044D63"/>
    <w:rsid w:val="12103BCB"/>
    <w:rsid w:val="12BA5CE6"/>
    <w:rsid w:val="12D81AC0"/>
    <w:rsid w:val="12E00C08"/>
    <w:rsid w:val="133B7529"/>
    <w:rsid w:val="13D413DF"/>
    <w:rsid w:val="14182B27"/>
    <w:rsid w:val="148461AA"/>
    <w:rsid w:val="14CB3884"/>
    <w:rsid w:val="14ED6343"/>
    <w:rsid w:val="14FF0009"/>
    <w:rsid w:val="15AF7016"/>
    <w:rsid w:val="15C5065C"/>
    <w:rsid w:val="161B669A"/>
    <w:rsid w:val="17FB294F"/>
    <w:rsid w:val="18786C87"/>
    <w:rsid w:val="19286289"/>
    <w:rsid w:val="1AB22AC3"/>
    <w:rsid w:val="1AC669C5"/>
    <w:rsid w:val="1B883BFA"/>
    <w:rsid w:val="1BCC3B0F"/>
    <w:rsid w:val="1C9C6787"/>
    <w:rsid w:val="1CE61C7E"/>
    <w:rsid w:val="1D101863"/>
    <w:rsid w:val="1D6E42AC"/>
    <w:rsid w:val="1D786740"/>
    <w:rsid w:val="1E016059"/>
    <w:rsid w:val="1E671D89"/>
    <w:rsid w:val="1E6A6411"/>
    <w:rsid w:val="1F46413A"/>
    <w:rsid w:val="20170D02"/>
    <w:rsid w:val="214712D7"/>
    <w:rsid w:val="216158DD"/>
    <w:rsid w:val="21986940"/>
    <w:rsid w:val="21F55869"/>
    <w:rsid w:val="222F7FAB"/>
    <w:rsid w:val="22490ADA"/>
    <w:rsid w:val="22D81928"/>
    <w:rsid w:val="22D94C19"/>
    <w:rsid w:val="230D426F"/>
    <w:rsid w:val="23433B63"/>
    <w:rsid w:val="239879A2"/>
    <w:rsid w:val="23A36468"/>
    <w:rsid w:val="23A74B25"/>
    <w:rsid w:val="24390D5F"/>
    <w:rsid w:val="252C2672"/>
    <w:rsid w:val="25C73E7C"/>
    <w:rsid w:val="2698203F"/>
    <w:rsid w:val="26A14D0A"/>
    <w:rsid w:val="26A61FB0"/>
    <w:rsid w:val="26F13F98"/>
    <w:rsid w:val="27586F25"/>
    <w:rsid w:val="286D7528"/>
    <w:rsid w:val="28766E96"/>
    <w:rsid w:val="287700A8"/>
    <w:rsid w:val="28883872"/>
    <w:rsid w:val="29235B3A"/>
    <w:rsid w:val="29824F56"/>
    <w:rsid w:val="2987267E"/>
    <w:rsid w:val="299B081E"/>
    <w:rsid w:val="2A010115"/>
    <w:rsid w:val="2AB473E3"/>
    <w:rsid w:val="2AB80A62"/>
    <w:rsid w:val="2AC4222E"/>
    <w:rsid w:val="2B052A81"/>
    <w:rsid w:val="2B150A38"/>
    <w:rsid w:val="2B9920E3"/>
    <w:rsid w:val="2BC36CD5"/>
    <w:rsid w:val="2BFD0848"/>
    <w:rsid w:val="2C6A4377"/>
    <w:rsid w:val="2D577CE8"/>
    <w:rsid w:val="2D7E28F3"/>
    <w:rsid w:val="2D935407"/>
    <w:rsid w:val="2E297EA0"/>
    <w:rsid w:val="2EB84112"/>
    <w:rsid w:val="2FC531EA"/>
    <w:rsid w:val="310B378F"/>
    <w:rsid w:val="310B51BE"/>
    <w:rsid w:val="31101099"/>
    <w:rsid w:val="31972760"/>
    <w:rsid w:val="31DE5646"/>
    <w:rsid w:val="322357A1"/>
    <w:rsid w:val="322A618B"/>
    <w:rsid w:val="32494CEE"/>
    <w:rsid w:val="325F3A08"/>
    <w:rsid w:val="32872256"/>
    <w:rsid w:val="33210230"/>
    <w:rsid w:val="344F20D8"/>
    <w:rsid w:val="34991A91"/>
    <w:rsid w:val="34C3624A"/>
    <w:rsid w:val="3589141A"/>
    <w:rsid w:val="359E29CA"/>
    <w:rsid w:val="35C54D1B"/>
    <w:rsid w:val="362A3F38"/>
    <w:rsid w:val="365A504C"/>
    <w:rsid w:val="368D0A96"/>
    <w:rsid w:val="36B01B4B"/>
    <w:rsid w:val="37A524F8"/>
    <w:rsid w:val="38804D57"/>
    <w:rsid w:val="3A570EEA"/>
    <w:rsid w:val="3A85157A"/>
    <w:rsid w:val="3AE3016D"/>
    <w:rsid w:val="3AFE5F43"/>
    <w:rsid w:val="3B8A44AF"/>
    <w:rsid w:val="3BCB62A6"/>
    <w:rsid w:val="3BDF6A73"/>
    <w:rsid w:val="3C3D7AFF"/>
    <w:rsid w:val="3CA53FC3"/>
    <w:rsid w:val="3CA9604B"/>
    <w:rsid w:val="3DA65E28"/>
    <w:rsid w:val="3E7C6B8A"/>
    <w:rsid w:val="3EF30213"/>
    <w:rsid w:val="405E4C20"/>
    <w:rsid w:val="40713985"/>
    <w:rsid w:val="40D32442"/>
    <w:rsid w:val="415C5B72"/>
    <w:rsid w:val="418A09F4"/>
    <w:rsid w:val="42002CDB"/>
    <w:rsid w:val="429B6067"/>
    <w:rsid w:val="432D2338"/>
    <w:rsid w:val="441659FF"/>
    <w:rsid w:val="443E6856"/>
    <w:rsid w:val="4497183B"/>
    <w:rsid w:val="44C52EFC"/>
    <w:rsid w:val="45B20A8F"/>
    <w:rsid w:val="46B569DA"/>
    <w:rsid w:val="479003E6"/>
    <w:rsid w:val="490307A7"/>
    <w:rsid w:val="49A865D3"/>
    <w:rsid w:val="4A770C91"/>
    <w:rsid w:val="4AE86F32"/>
    <w:rsid w:val="4B3724BB"/>
    <w:rsid w:val="4B80075D"/>
    <w:rsid w:val="4BFB532D"/>
    <w:rsid w:val="4CCA3BA9"/>
    <w:rsid w:val="4CFA0365"/>
    <w:rsid w:val="4D072910"/>
    <w:rsid w:val="4D115A20"/>
    <w:rsid w:val="4D1A50AF"/>
    <w:rsid w:val="4DB67604"/>
    <w:rsid w:val="4DC01E16"/>
    <w:rsid w:val="4E557A4F"/>
    <w:rsid w:val="4E5C386E"/>
    <w:rsid w:val="4EC352C6"/>
    <w:rsid w:val="4EF37883"/>
    <w:rsid w:val="4F251D5C"/>
    <w:rsid w:val="4F950654"/>
    <w:rsid w:val="4FC33721"/>
    <w:rsid w:val="4FC542D6"/>
    <w:rsid w:val="503209A0"/>
    <w:rsid w:val="50C755E3"/>
    <w:rsid w:val="50C7569B"/>
    <w:rsid w:val="514D7C78"/>
    <w:rsid w:val="516440DC"/>
    <w:rsid w:val="517E41AF"/>
    <w:rsid w:val="51AE5B05"/>
    <w:rsid w:val="51C25A07"/>
    <w:rsid w:val="51CB51DB"/>
    <w:rsid w:val="51E54497"/>
    <w:rsid w:val="520E6AD8"/>
    <w:rsid w:val="5233019C"/>
    <w:rsid w:val="52623397"/>
    <w:rsid w:val="52B2497A"/>
    <w:rsid w:val="531225F7"/>
    <w:rsid w:val="53402049"/>
    <w:rsid w:val="54FF3E42"/>
    <w:rsid w:val="550A578A"/>
    <w:rsid w:val="569E1F65"/>
    <w:rsid w:val="56BA0FDC"/>
    <w:rsid w:val="56C54297"/>
    <w:rsid w:val="57BE68AA"/>
    <w:rsid w:val="57C8653F"/>
    <w:rsid w:val="580A33C0"/>
    <w:rsid w:val="581540BD"/>
    <w:rsid w:val="584274DB"/>
    <w:rsid w:val="58DE0B10"/>
    <w:rsid w:val="58F5275D"/>
    <w:rsid w:val="590F1857"/>
    <w:rsid w:val="593060C2"/>
    <w:rsid w:val="59A74B3D"/>
    <w:rsid w:val="5A39434D"/>
    <w:rsid w:val="5A9C5DB6"/>
    <w:rsid w:val="5B3B184B"/>
    <w:rsid w:val="5B42315A"/>
    <w:rsid w:val="5D231B8B"/>
    <w:rsid w:val="5D420294"/>
    <w:rsid w:val="5EB86749"/>
    <w:rsid w:val="5EE66828"/>
    <w:rsid w:val="5FBE2F38"/>
    <w:rsid w:val="5FDE0C6D"/>
    <w:rsid w:val="6072561F"/>
    <w:rsid w:val="60AB7677"/>
    <w:rsid w:val="60C30AE4"/>
    <w:rsid w:val="61163C0C"/>
    <w:rsid w:val="631017F1"/>
    <w:rsid w:val="63544A9A"/>
    <w:rsid w:val="63624EAC"/>
    <w:rsid w:val="64F47002"/>
    <w:rsid w:val="657E123C"/>
    <w:rsid w:val="65960D62"/>
    <w:rsid w:val="661D1FE7"/>
    <w:rsid w:val="664B3B7C"/>
    <w:rsid w:val="66787BF9"/>
    <w:rsid w:val="668809CE"/>
    <w:rsid w:val="669716D4"/>
    <w:rsid w:val="673366EC"/>
    <w:rsid w:val="673441CB"/>
    <w:rsid w:val="68550B65"/>
    <w:rsid w:val="68786247"/>
    <w:rsid w:val="68E62BD5"/>
    <w:rsid w:val="691A06C6"/>
    <w:rsid w:val="6AB46045"/>
    <w:rsid w:val="6ABC2D30"/>
    <w:rsid w:val="6AE941EB"/>
    <w:rsid w:val="6B0A2018"/>
    <w:rsid w:val="6B5C045C"/>
    <w:rsid w:val="6BEE2E0C"/>
    <w:rsid w:val="6C106D17"/>
    <w:rsid w:val="6C361AB7"/>
    <w:rsid w:val="6C801326"/>
    <w:rsid w:val="6D463EAB"/>
    <w:rsid w:val="6D466740"/>
    <w:rsid w:val="6EB4024E"/>
    <w:rsid w:val="6EF1212F"/>
    <w:rsid w:val="6FA06C08"/>
    <w:rsid w:val="6FE80510"/>
    <w:rsid w:val="70101F83"/>
    <w:rsid w:val="705B1CD4"/>
    <w:rsid w:val="70C97DF0"/>
    <w:rsid w:val="70D9318C"/>
    <w:rsid w:val="70DB62B7"/>
    <w:rsid w:val="71597A7D"/>
    <w:rsid w:val="71663887"/>
    <w:rsid w:val="7187556B"/>
    <w:rsid w:val="71A16BC9"/>
    <w:rsid w:val="71A4517F"/>
    <w:rsid w:val="720127B7"/>
    <w:rsid w:val="7212231F"/>
    <w:rsid w:val="723F0BC9"/>
    <w:rsid w:val="724369E1"/>
    <w:rsid w:val="73612AB3"/>
    <w:rsid w:val="73686789"/>
    <w:rsid w:val="73A3131E"/>
    <w:rsid w:val="73B2651C"/>
    <w:rsid w:val="740571ED"/>
    <w:rsid w:val="74271BF7"/>
    <w:rsid w:val="74B2437C"/>
    <w:rsid w:val="75C041F2"/>
    <w:rsid w:val="76FE1523"/>
    <w:rsid w:val="774F47F5"/>
    <w:rsid w:val="77B85A14"/>
    <w:rsid w:val="785B04FA"/>
    <w:rsid w:val="78BD097C"/>
    <w:rsid w:val="7AB06C72"/>
    <w:rsid w:val="7B8701B5"/>
    <w:rsid w:val="7C091598"/>
    <w:rsid w:val="7CD51E4B"/>
    <w:rsid w:val="7DB52379"/>
    <w:rsid w:val="7E8C6DD2"/>
    <w:rsid w:val="7EFA4D5D"/>
    <w:rsid w:val="7EFB0260"/>
    <w:rsid w:val="7FA47651"/>
    <w:rsid w:val="7FAC5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0"/>
    <w:pPr>
      <w:keepNext/>
      <w:keepLines/>
      <w:spacing w:line="576" w:lineRule="auto"/>
      <w:outlineLvl w:val="0"/>
    </w:pPr>
    <w:rPr>
      <w:b/>
      <w:kern w:val="44"/>
      <w:sz w:val="44"/>
    </w:rPr>
  </w:style>
  <w:style w:type="paragraph" w:styleId="2">
    <w:name w:val="heading 2"/>
    <w:basedOn w:val="1"/>
    <w:next w:val="1"/>
    <w:link w:val="32"/>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8"/>
    <w:semiHidden/>
    <w:unhideWhenUsed/>
    <w:qFormat/>
    <w:uiPriority w:val="0"/>
    <w:pPr>
      <w:keepNext/>
      <w:keepLines/>
      <w:spacing w:line="413" w:lineRule="auto"/>
      <w:outlineLvl w:val="2"/>
    </w:pPr>
    <w:rPr>
      <w:b/>
      <w:sz w:val="32"/>
    </w:rPr>
  </w:style>
  <w:style w:type="paragraph" w:styleId="5">
    <w:name w:val="heading 4"/>
    <w:basedOn w:val="1"/>
    <w:next w:val="1"/>
    <w:link w:val="34"/>
    <w:semiHidden/>
    <w:unhideWhenUsed/>
    <w:qFormat/>
    <w:uiPriority w:val="0"/>
    <w:pPr>
      <w:keepNext/>
      <w:keepLines/>
      <w:spacing w:line="372" w:lineRule="auto"/>
      <w:outlineLvl w:val="3"/>
    </w:pPr>
    <w:rPr>
      <w:rFonts w:ascii="Arial" w:hAnsi="Arial" w:eastAsia="黑体"/>
      <w:b/>
      <w:sz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9"/>
    <w:qFormat/>
    <w:uiPriority w:val="0"/>
  </w:style>
  <w:style w:type="paragraph" w:styleId="7">
    <w:name w:val="Body Text Indent"/>
    <w:basedOn w:val="1"/>
    <w:next w:val="8"/>
    <w:link w:val="33"/>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7"/>
    <w:qFormat/>
    <w:uiPriority w:val="0"/>
    <w:rPr>
      <w:rFonts w:ascii="宋体" w:hAnsi="Courier New"/>
    </w:rPr>
  </w:style>
  <w:style w:type="paragraph" w:styleId="10">
    <w:name w:val="Date"/>
    <w:basedOn w:val="1"/>
    <w:next w:val="1"/>
    <w:link w:val="30"/>
    <w:qFormat/>
    <w:uiPriority w:val="0"/>
    <w:pPr>
      <w:ind w:left="100" w:leftChars="2500"/>
    </w:pPr>
  </w:style>
  <w:style w:type="paragraph" w:styleId="11">
    <w:name w:val="Body Text Indent 2"/>
    <w:basedOn w:val="1"/>
    <w:link w:val="24"/>
    <w:qFormat/>
    <w:uiPriority w:val="0"/>
    <w:pPr>
      <w:spacing w:line="480" w:lineRule="auto"/>
      <w:ind w:left="420" w:leftChars="200"/>
    </w:pPr>
  </w:style>
  <w:style w:type="paragraph" w:styleId="12">
    <w:name w:val="Balloon Text"/>
    <w:basedOn w:val="1"/>
    <w:link w:val="35"/>
    <w:qFormat/>
    <w:uiPriority w:val="0"/>
    <w:rPr>
      <w:sz w:val="18"/>
    </w:rPr>
  </w:style>
  <w:style w:type="paragraph" w:styleId="13">
    <w:name w:val="footer"/>
    <w:basedOn w:val="1"/>
    <w:link w:val="38"/>
    <w:qFormat/>
    <w:uiPriority w:val="0"/>
    <w:pPr>
      <w:tabs>
        <w:tab w:val="center" w:pos="4153"/>
        <w:tab w:val="right" w:pos="8306"/>
      </w:tabs>
      <w:snapToGrid w:val="0"/>
      <w:jc w:val="left"/>
    </w:pPr>
    <w:rPr>
      <w:sz w:val="18"/>
    </w:rPr>
  </w:style>
  <w:style w:type="paragraph" w:styleId="14">
    <w:name w:val="header"/>
    <w:basedOn w:val="1"/>
    <w:link w:val="3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1"/>
    <w:qFormat/>
    <w:uiPriority w:val="0"/>
    <w:pPr>
      <w:ind w:left="420" w:leftChars="200"/>
    </w:pPr>
    <w:rPr>
      <w:sz w:val="16"/>
    </w:rPr>
  </w:style>
  <w:style w:type="paragraph" w:styleId="16">
    <w:name w:val="Body Text 2"/>
    <w:basedOn w:val="1"/>
    <w:link w:val="25"/>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next w:val="1"/>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basedOn w:val="21"/>
    <w:qFormat/>
    <w:uiPriority w:val="0"/>
    <w:rPr>
      <w:color w:val="800080"/>
      <w:u w:val="single"/>
    </w:rPr>
  </w:style>
  <w:style w:type="character" w:styleId="23">
    <w:name w:val="Hyperlink"/>
    <w:basedOn w:val="21"/>
    <w:qFormat/>
    <w:uiPriority w:val="0"/>
    <w:rPr>
      <w:color w:val="0000FF"/>
      <w:u w:val="single"/>
    </w:rPr>
  </w:style>
  <w:style w:type="character" w:customStyle="1" w:styleId="24">
    <w:name w:val="正文文本缩进 2 字符"/>
    <w:basedOn w:val="21"/>
    <w:link w:val="11"/>
    <w:qFormat/>
    <w:uiPriority w:val="0"/>
    <w:rPr>
      <w:rFonts w:hint="default" w:ascii="Times New Roman" w:hAnsi="Times New Roman" w:cs="Times New Roman"/>
    </w:rPr>
  </w:style>
  <w:style w:type="character" w:customStyle="1" w:styleId="25">
    <w:name w:val="正文文本 2 字符"/>
    <w:basedOn w:val="21"/>
    <w:link w:val="16"/>
    <w:qFormat/>
    <w:uiPriority w:val="0"/>
    <w:rPr>
      <w:rFonts w:ascii="黑体" w:hAnsi="宋体" w:eastAsia="黑体" w:cs="黑体"/>
      <w:b/>
    </w:rPr>
  </w:style>
  <w:style w:type="character" w:customStyle="1" w:styleId="26">
    <w:name w:val="标题 1 字符"/>
    <w:basedOn w:val="21"/>
    <w:link w:val="3"/>
    <w:qFormat/>
    <w:uiPriority w:val="0"/>
    <w:rPr>
      <w:b/>
    </w:rPr>
  </w:style>
  <w:style w:type="character" w:customStyle="1" w:styleId="27">
    <w:name w:val="纯文本 字符"/>
    <w:basedOn w:val="21"/>
    <w:link w:val="9"/>
    <w:qFormat/>
    <w:uiPriority w:val="0"/>
    <w:rPr>
      <w:rFonts w:hint="eastAsia" w:ascii="宋体" w:hAnsi="宋体" w:eastAsia="宋体" w:cs="宋体"/>
    </w:rPr>
  </w:style>
  <w:style w:type="character" w:customStyle="1" w:styleId="28">
    <w:name w:val="标题 3 字符"/>
    <w:basedOn w:val="21"/>
    <w:link w:val="4"/>
    <w:qFormat/>
    <w:uiPriority w:val="0"/>
    <w:rPr>
      <w:b/>
    </w:rPr>
  </w:style>
  <w:style w:type="character" w:customStyle="1" w:styleId="29">
    <w:name w:val="正文文本 字符"/>
    <w:basedOn w:val="21"/>
    <w:link w:val="6"/>
    <w:qFormat/>
    <w:uiPriority w:val="0"/>
    <w:rPr>
      <w:rFonts w:ascii="仿宋_GB2312" w:eastAsia="仿宋_GB2312" w:cs="仿宋_GB2312"/>
    </w:rPr>
  </w:style>
  <w:style w:type="character" w:customStyle="1" w:styleId="30">
    <w:name w:val="日期 字符"/>
    <w:basedOn w:val="21"/>
    <w:link w:val="10"/>
    <w:qFormat/>
    <w:uiPriority w:val="0"/>
  </w:style>
  <w:style w:type="character" w:customStyle="1" w:styleId="31">
    <w:name w:val="正文文本缩进 3 字符"/>
    <w:basedOn w:val="21"/>
    <w:link w:val="15"/>
    <w:qFormat/>
    <w:uiPriority w:val="0"/>
    <w:rPr>
      <w:rFonts w:hint="default" w:ascii="Times New Roman" w:hAnsi="Times New Roman" w:cs="Times New Roman"/>
      <w:shd w:val="clear" w:color="auto" w:fill="FFFFFF"/>
    </w:rPr>
  </w:style>
  <w:style w:type="character" w:customStyle="1" w:styleId="32">
    <w:name w:val="标题 2 字符"/>
    <w:basedOn w:val="21"/>
    <w:link w:val="2"/>
    <w:qFormat/>
    <w:uiPriority w:val="0"/>
    <w:rPr>
      <w:rFonts w:ascii="等线 Light" w:hAnsi="等线 Light" w:eastAsia="等线 Light" w:cs="等线 Light"/>
      <w:b/>
    </w:rPr>
  </w:style>
  <w:style w:type="character" w:customStyle="1" w:styleId="33">
    <w:name w:val="正文文本缩进 字符"/>
    <w:basedOn w:val="21"/>
    <w:link w:val="7"/>
    <w:qFormat/>
    <w:uiPriority w:val="0"/>
    <w:rPr>
      <w:rFonts w:hint="default" w:ascii="仿宋_GB2312" w:eastAsia="仿宋_GB2312" w:cs="仿宋_GB2312"/>
    </w:rPr>
  </w:style>
  <w:style w:type="character" w:customStyle="1" w:styleId="34">
    <w:name w:val="标题 4 字符"/>
    <w:basedOn w:val="21"/>
    <w:link w:val="5"/>
    <w:qFormat/>
    <w:uiPriority w:val="0"/>
    <w:rPr>
      <w:rFonts w:hint="eastAsia" w:ascii="等线 Light" w:hAnsi="等线 Light" w:eastAsia="等线 Light" w:cs="等线 Light"/>
      <w:b/>
    </w:rPr>
  </w:style>
  <w:style w:type="character" w:customStyle="1" w:styleId="35">
    <w:name w:val="批注框文本 字符"/>
    <w:basedOn w:val="21"/>
    <w:link w:val="12"/>
    <w:qFormat/>
    <w:uiPriority w:val="0"/>
  </w:style>
  <w:style w:type="character" w:customStyle="1" w:styleId="36">
    <w:name w:val="页眉 字符"/>
    <w:basedOn w:val="21"/>
    <w:link w:val="14"/>
    <w:qFormat/>
    <w:uiPriority w:val="0"/>
    <w:rPr>
      <w:rFonts w:hint="default" w:ascii="Times New Roman" w:hAnsi="Times New Roman" w:cs="Times New Roman"/>
    </w:rPr>
  </w:style>
  <w:style w:type="character" w:customStyle="1" w:styleId="37">
    <w:name w:val="要点2"/>
    <w:basedOn w:val="21"/>
    <w:qFormat/>
    <w:uiPriority w:val="0"/>
    <w:rPr>
      <w:b/>
      <w:color w:val="111111"/>
    </w:rPr>
  </w:style>
  <w:style w:type="character" w:customStyle="1" w:styleId="38">
    <w:name w:val="页脚 字符"/>
    <w:basedOn w:val="21"/>
    <w:link w:val="13"/>
    <w:qFormat/>
    <w:uiPriority w:val="0"/>
    <w:rPr>
      <w:rFonts w:hint="default" w:ascii="Times New Roman" w:hAnsi="Times New Roman" w:cs="Times New Roman"/>
    </w:rPr>
  </w:style>
  <w:style w:type="paragraph" w:styleId="3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1037</Words>
  <Characters>1141</Characters>
  <Lines>10</Lines>
  <Paragraphs>2</Paragraphs>
  <TotalTime>28</TotalTime>
  <ScaleCrop>false</ScaleCrop>
  <LinksUpToDate>false</LinksUpToDate>
  <CharactersWithSpaces>1142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Wastnee</cp:lastModifiedBy>
  <cp:lastPrinted>2023-09-11T06:06:00Z</cp:lastPrinted>
  <dcterms:modified xsi:type="dcterms:W3CDTF">2024-10-26T12:26:44Z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B4B32F97921C402DBDD84A77B2C5C2D9_13</vt:lpwstr>
  </property>
</Properties>
</file>