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B4046B">
      <w:pPr>
        <w:pStyle w:val="7"/>
        <w:keepNext w:val="0"/>
        <w:keepLines w:val="0"/>
        <w:pageBreakBefore w:val="0"/>
        <w:widowControl w:val="0"/>
        <w:kinsoku/>
        <w:wordWrap w:val="0"/>
        <w:overflowPunct/>
        <w:topLinePunct w:val="0"/>
        <w:autoSpaceDE/>
        <w:autoSpaceDN/>
        <w:bidi w:val="0"/>
        <w:adjustRightInd/>
        <w:snapToGrid/>
        <w:spacing w:line="480" w:lineRule="auto"/>
        <w:ind w:firstLine="641"/>
        <w:jc w:val="center"/>
        <w:textAlignment w:val="auto"/>
        <w:rPr>
          <w:rFonts w:hint="default" w:asciiTheme="minorEastAsia" w:hAnsiTheme="minorEastAsia" w:eastAsiaTheme="minorEastAsia" w:cstheme="minorEastAsia"/>
          <w:b/>
          <w:bCs/>
          <w:sz w:val="32"/>
          <w:szCs w:val="32"/>
          <w:lang w:val="en-US" w:eastAsia="zh-CN"/>
        </w:rPr>
      </w:pPr>
      <w:r>
        <w:rPr>
          <w:rFonts w:hint="eastAsia" w:asciiTheme="minorEastAsia" w:hAnsiTheme="minorEastAsia" w:cstheme="minorEastAsia"/>
          <w:b/>
          <w:bCs/>
          <w:sz w:val="32"/>
          <w:szCs w:val="32"/>
        </w:rPr>
        <w:t>关于</w:t>
      </w:r>
      <w:r>
        <w:rPr>
          <w:rFonts w:hint="eastAsia" w:asciiTheme="minorEastAsia" w:hAnsiTheme="minorEastAsia" w:cstheme="minorEastAsia"/>
          <w:b/>
          <w:bCs/>
          <w:sz w:val="32"/>
          <w:szCs w:val="32"/>
          <w:lang w:eastAsia="zh-CN"/>
        </w:rPr>
        <w:t>亭城文旅本地生活服务平台系统建设项目（一阶段）</w:t>
      </w:r>
      <w:r>
        <w:rPr>
          <w:rFonts w:hint="eastAsia" w:asciiTheme="minorEastAsia" w:hAnsiTheme="minorEastAsia" w:cstheme="minorEastAsia"/>
          <w:b/>
          <w:bCs/>
          <w:sz w:val="32"/>
          <w:szCs w:val="32"/>
        </w:rPr>
        <w:t>的</w:t>
      </w:r>
      <w:r>
        <w:rPr>
          <w:rFonts w:hint="eastAsia" w:asciiTheme="minorEastAsia" w:hAnsiTheme="minorEastAsia" w:cstheme="minorEastAsia"/>
          <w:b/>
          <w:bCs/>
          <w:sz w:val="32"/>
          <w:szCs w:val="32"/>
          <w:lang w:val="en-US" w:eastAsia="zh-CN"/>
        </w:rPr>
        <w:t>答疑澄清</w:t>
      </w:r>
    </w:p>
    <w:p w14:paraId="7221270B">
      <w:pPr>
        <w:pStyle w:val="7"/>
        <w:spacing w:line="480" w:lineRule="auto"/>
        <w:ind w:firstLine="562"/>
        <w:jc w:val="center"/>
        <w:rPr>
          <w:rFonts w:asciiTheme="minorEastAsia" w:hAnsiTheme="minorEastAsia" w:cstheme="minorEastAsia"/>
          <w:b/>
          <w:bCs/>
          <w:sz w:val="28"/>
          <w:szCs w:val="28"/>
        </w:rPr>
      </w:pPr>
      <w:r>
        <w:rPr>
          <w:rFonts w:hint="eastAsia" w:asciiTheme="minorEastAsia" w:hAnsiTheme="minorEastAsia" w:cstheme="minorEastAsia"/>
          <w:b/>
          <w:bCs/>
          <w:sz w:val="28"/>
          <w:szCs w:val="28"/>
        </w:rPr>
        <w:t>项目编号：HXJY1110001062458</w:t>
      </w:r>
    </w:p>
    <w:p w14:paraId="47BA1BE2">
      <w:pPr>
        <w:pStyle w:val="7"/>
        <w:spacing w:line="480" w:lineRule="auto"/>
        <w:rPr>
          <w:rFonts w:asciiTheme="minorEastAsia" w:hAnsiTheme="minorEastAsia" w:cstheme="minorEastAsia"/>
          <w:sz w:val="24"/>
        </w:rPr>
      </w:pPr>
      <w:r>
        <w:rPr>
          <w:rFonts w:hint="eastAsia" w:asciiTheme="minorEastAsia" w:hAnsiTheme="minorEastAsia" w:cstheme="minorEastAsia"/>
          <w:sz w:val="24"/>
        </w:rPr>
        <w:t>各潜在</w:t>
      </w:r>
      <w:r>
        <w:rPr>
          <w:rFonts w:hint="eastAsia" w:asciiTheme="minorEastAsia" w:hAnsiTheme="minorEastAsia" w:cstheme="minorEastAsia"/>
          <w:sz w:val="24"/>
          <w:lang w:val="en-US" w:eastAsia="zh-CN"/>
        </w:rPr>
        <w:t>供应商</w:t>
      </w:r>
      <w:r>
        <w:rPr>
          <w:rFonts w:hint="eastAsia" w:asciiTheme="minorEastAsia" w:hAnsiTheme="minorEastAsia" w:cstheme="minorEastAsia"/>
          <w:sz w:val="24"/>
        </w:rPr>
        <w:t>：</w:t>
      </w:r>
    </w:p>
    <w:p w14:paraId="10ACDF61">
      <w:pPr>
        <w:pStyle w:val="7"/>
        <w:spacing w:line="480" w:lineRule="auto"/>
        <w:ind w:firstLine="480"/>
        <w:rPr>
          <w:rFonts w:asciiTheme="minorEastAsia" w:hAnsiTheme="minorEastAsia" w:cstheme="minorEastAsia"/>
          <w:b/>
          <w:bCs/>
          <w:sz w:val="24"/>
        </w:rPr>
      </w:pPr>
      <w:r>
        <w:rPr>
          <w:rFonts w:hint="eastAsia" w:asciiTheme="minorEastAsia" w:hAnsiTheme="minorEastAsia" w:cstheme="minorEastAsia"/>
          <w:b/>
          <w:bCs/>
          <w:sz w:val="24"/>
        </w:rPr>
        <w:t>现对“</w:t>
      </w:r>
      <w:r>
        <w:rPr>
          <w:rFonts w:hint="eastAsia" w:asciiTheme="minorEastAsia" w:hAnsiTheme="minorEastAsia" w:cstheme="minorEastAsia"/>
          <w:b/>
          <w:bCs/>
          <w:sz w:val="24"/>
          <w:lang w:eastAsia="zh-CN"/>
        </w:rPr>
        <w:t>亭城文旅本地生活服务平台系统建设项目（一阶段）</w:t>
      </w:r>
      <w:r>
        <w:rPr>
          <w:rFonts w:hint="eastAsia" w:asciiTheme="minorEastAsia" w:hAnsiTheme="minorEastAsia" w:cstheme="minorEastAsia"/>
          <w:b/>
          <w:bCs/>
          <w:sz w:val="24"/>
        </w:rPr>
        <w:t>”如下</w:t>
      </w:r>
      <w:r>
        <w:rPr>
          <w:rFonts w:hint="eastAsia" w:asciiTheme="minorEastAsia" w:hAnsiTheme="minorEastAsia" w:cstheme="minorEastAsia"/>
          <w:b/>
          <w:bCs/>
          <w:sz w:val="24"/>
          <w:lang w:val="en-US" w:eastAsia="zh-CN"/>
        </w:rPr>
        <w:t>答疑</w:t>
      </w:r>
      <w:r>
        <w:rPr>
          <w:rFonts w:hint="eastAsia" w:asciiTheme="minorEastAsia" w:hAnsiTheme="minorEastAsia" w:cstheme="minorEastAsia"/>
          <w:b/>
          <w:bCs/>
          <w:sz w:val="24"/>
        </w:rPr>
        <w:t>：</w:t>
      </w:r>
    </w:p>
    <w:p w14:paraId="1A75AB95">
      <w:pPr>
        <w:pStyle w:val="7"/>
        <w:spacing w:line="480" w:lineRule="auto"/>
        <w:ind w:firstLine="480" w:firstLineChars="200"/>
        <w:rPr>
          <w:rFonts w:hint="eastAsia" w:asciiTheme="minorEastAsia" w:hAnsiTheme="minorEastAsia" w:cstheme="minorEastAsia"/>
          <w:sz w:val="24"/>
          <w:lang w:eastAsia="zh-CN"/>
        </w:rPr>
      </w:pPr>
      <w:r>
        <w:rPr>
          <w:rFonts w:hint="eastAsia" w:asciiTheme="minorEastAsia" w:hAnsiTheme="minorEastAsia" w:cstheme="minorEastAsia"/>
          <w:sz w:val="24"/>
        </w:rPr>
        <w:t>一、 1.资信标评审：服务能力：具有有效期内公安机关颁发的信息系统安全等级保护备案证明三级及以上；本项目采购所有系统均实施本地化加云服务建设，因和建设厂家具有三级等保安全没有关联性，本项目无硬性实施要求，建议调整该加分项。 2.资信标评审：企业实力：具有用户管理系统或会员管理系统相关； 所有的软件系统中都会自带用户管理和会员管理模块，为一个模块级基础功能申请著作权不符合常规企业行为，根据本项目需求建议调整该加分项。</w:t>
      </w:r>
    </w:p>
    <w:p w14:paraId="36A653D0">
      <w:pPr>
        <w:pStyle w:val="7"/>
        <w:numPr>
          <w:ilvl w:val="0"/>
          <w:numId w:val="0"/>
        </w:numPr>
        <w:spacing w:line="480" w:lineRule="auto"/>
        <w:ind w:firstLine="482" w:firstLineChars="200"/>
        <w:rPr>
          <w:rFonts w:hint="eastAsia" w:asciiTheme="minorEastAsia" w:hAnsiTheme="minorEastAsia" w:cstheme="minorEastAsia"/>
          <w:b w:val="0"/>
          <w:bCs w:val="0"/>
          <w:sz w:val="24"/>
          <w:lang w:val="en-US" w:eastAsia="zh-CN"/>
        </w:rPr>
      </w:pPr>
      <w:r>
        <w:rPr>
          <w:rFonts w:hint="eastAsia" w:asciiTheme="minorEastAsia" w:hAnsiTheme="minorEastAsia" w:cstheme="minorEastAsia"/>
          <w:b/>
          <w:bCs/>
          <w:sz w:val="24"/>
          <w:lang w:val="en-US" w:eastAsia="zh-CN"/>
        </w:rPr>
        <w:t>回复：</w:t>
      </w:r>
      <w:r>
        <w:rPr>
          <w:rFonts w:hint="eastAsia" w:asciiTheme="minorEastAsia" w:hAnsiTheme="minorEastAsia" w:cstheme="minorEastAsia"/>
          <w:b w:val="0"/>
          <w:bCs w:val="0"/>
          <w:sz w:val="24"/>
          <w:lang w:val="en-US" w:eastAsia="zh-CN"/>
        </w:rPr>
        <w:t>1、本项调整为供应商承诺本项目建成交付的系统达到信息系统安全等级保护三级标准的得2分，未提供承诺书或承诺内容不符合要求的不得分。承诺书格式自拟。2、用户管理、会员管理是本项目的核心业务模块，并非普通次要附属功能，设置该加分项意在择优筛选具备同类系统独立研发沉淀的供应商，降低项目实施的知识产权风险；该条款仅为资信标加分项，不设置为资格门槛，未持有对应软件著作权不会造成响应无效，软件著作权属于企业自主知识产权布局成果，该评审因素设置符合本项目择优采购的原则，该条款不予修改，按采购文件执行。</w:t>
      </w:r>
    </w:p>
    <w:p w14:paraId="3AB5B303">
      <w:pPr>
        <w:pStyle w:val="7"/>
        <w:numPr>
          <w:ilvl w:val="0"/>
          <w:numId w:val="0"/>
        </w:numPr>
        <w:spacing w:line="480" w:lineRule="auto"/>
        <w:ind w:firstLine="480" w:firstLineChars="200"/>
        <w:rPr>
          <w:rFonts w:hint="eastAsia" w:asciiTheme="minorEastAsia" w:hAnsiTheme="minorEastAsia" w:cstheme="minorEastAsia"/>
          <w:b w:val="0"/>
          <w:bCs w:val="0"/>
          <w:sz w:val="24"/>
          <w:lang w:val="en-US" w:eastAsia="zh-CN"/>
        </w:rPr>
      </w:pPr>
      <w:r>
        <w:rPr>
          <w:rFonts w:hint="eastAsia" w:asciiTheme="minorEastAsia" w:hAnsiTheme="minorEastAsia" w:cstheme="minorEastAsia"/>
          <w:b w:val="0"/>
          <w:bCs w:val="0"/>
          <w:sz w:val="24"/>
          <w:lang w:val="en-US" w:eastAsia="zh-CN"/>
        </w:rPr>
        <w:t>二、《采购文件》第一章第1 项：“具有相应供货服务能力且为生产厂家。”本项目采购内容依第六章为本地生活服务平台之软件开发、系统集成、数据迁移与运营服务，具体包括会员管理、物业系统集成、生活服务预约、代购商城、统一支付与自动对账、运营后台等模块，其中无任何货物制造或生产过程。而“生产厂家”在现行法律、行政法规及国家标准中，均无针对软件开发服务商的界定——软件企业依《国民经济行业分类》应归入“信息传输、软件和信息技术服务业”，而非“制造业”。以货物采购语境下的 “生产厂家”限定于信息服务采购项目，既使潜在供应商无从判断自身是否符合、无从准备相应证明材料，又为评审环节留下缺乏统一尺度</w:t>
      </w:r>
    </w:p>
    <w:p w14:paraId="0AA85914">
      <w:pPr>
        <w:pStyle w:val="7"/>
        <w:numPr>
          <w:ilvl w:val="0"/>
          <w:numId w:val="0"/>
        </w:numPr>
        <w:spacing w:line="480" w:lineRule="auto"/>
        <w:rPr>
          <w:rFonts w:hint="default" w:asciiTheme="minorEastAsia" w:hAnsiTheme="minorEastAsia" w:cstheme="minorEastAsia"/>
          <w:b w:val="0"/>
          <w:bCs w:val="0"/>
          <w:sz w:val="24"/>
          <w:lang w:val="en-US" w:eastAsia="zh-CN"/>
        </w:rPr>
      </w:pPr>
      <w:r>
        <w:rPr>
          <w:rFonts w:hint="eastAsia" w:asciiTheme="minorEastAsia" w:hAnsiTheme="minorEastAsia" w:cstheme="minorEastAsia"/>
          <w:b w:val="0"/>
          <w:bCs w:val="0"/>
          <w:sz w:val="24"/>
          <w:lang w:val="en-US" w:eastAsia="zh-CN"/>
        </w:rPr>
        <w:t>的不当裁量空间，与项目具体特点和实际需要明显不相适应，与合同履行无实质关联，违反《招标投标法》第18 条第2 款、第19 条及《实施条例》第32 条第2 项。</w:t>
      </w:r>
    </w:p>
    <w:p w14:paraId="1987C07B">
      <w:pPr>
        <w:pStyle w:val="7"/>
        <w:spacing w:line="480" w:lineRule="auto"/>
        <w:ind w:firstLine="482" w:firstLineChars="200"/>
        <w:rPr>
          <w:rFonts w:hint="eastAsia" w:asciiTheme="minorEastAsia" w:hAnsiTheme="minorEastAsia" w:cstheme="minorEastAsia"/>
          <w:b w:val="0"/>
          <w:bCs w:val="0"/>
          <w:sz w:val="24"/>
          <w:lang w:val="en-US" w:eastAsia="zh-CN"/>
        </w:rPr>
      </w:pPr>
      <w:r>
        <w:rPr>
          <w:rFonts w:hint="eastAsia" w:asciiTheme="minorEastAsia" w:hAnsiTheme="minorEastAsia" w:cstheme="minorEastAsia"/>
          <w:b/>
          <w:bCs/>
          <w:sz w:val="24"/>
          <w:lang w:val="en-US" w:eastAsia="zh-CN"/>
        </w:rPr>
        <w:t>回复：</w:t>
      </w:r>
      <w:r>
        <w:rPr>
          <w:rFonts w:hint="eastAsia" w:asciiTheme="minorEastAsia" w:hAnsiTheme="minorEastAsia" w:cstheme="minorEastAsia"/>
          <w:b w:val="0"/>
          <w:bCs w:val="0"/>
          <w:sz w:val="24"/>
          <w:lang w:val="en-US" w:eastAsia="zh-CN"/>
        </w:rPr>
        <w:t>本项目采购标的需要提供系统底层代码所有权、功能迭代升级、BUG底层修复、系统深度定制、后期版本持续更新、知识产权完整授权等核心技术支撑工作，只能由该软件平台的原始开发生产厂家（原厂）完成，第三方代理商、子分公司不掌握底层源代码，无法开展底层修改、深度定制、核心故障修复等服务。本项目设置“生产厂家”要求，不是指定某一家特定厂家，不是限定唯一供应商，只要具备对应软件著作权、为该软件、小程序原始开发生产主体，均可参与，符合条件的多家市场主体均可以参与竞争，未对潜在供应商实行差别待遇或者歧视待遇。本资格条件设置，完全是基于项目实际履约需要，为保障项目交付质量、后期运维稳定性、知识产权无权属纠纷，结合项目实际业务需求设置。该条款不予修改，按采购文件执行。</w:t>
      </w:r>
    </w:p>
    <w:p w14:paraId="045897E3">
      <w:pPr>
        <w:pStyle w:val="7"/>
        <w:spacing w:line="480" w:lineRule="auto"/>
        <w:ind w:firstLine="480" w:firstLineChars="200"/>
        <w:rPr>
          <w:rFonts w:hint="default" w:asciiTheme="minorEastAsia" w:hAnsiTheme="minorEastAsia" w:cstheme="minorEastAsia"/>
          <w:b w:val="0"/>
          <w:bCs w:val="0"/>
          <w:sz w:val="24"/>
          <w:lang w:val="en-US" w:eastAsia="zh-CN"/>
        </w:rPr>
      </w:pPr>
      <w:r>
        <w:rPr>
          <w:rFonts w:hint="eastAsia" w:asciiTheme="minorEastAsia" w:hAnsiTheme="minorEastAsia" w:cstheme="minorEastAsia"/>
          <w:b w:val="0"/>
          <w:bCs w:val="0"/>
          <w:sz w:val="24"/>
          <w:lang w:val="en-US" w:eastAsia="zh-CN"/>
        </w:rPr>
        <w:t>三、本项目需同时具备微信小程序、iOS/Android/鸿蒙多端开发，统一支付与线上分账，存量思迅系统对接，物业系统替换，公有云部署及等保三级安全设计等高度专业化能力，属典型多专业集成项目。《招标投标法》第31 条规定“两个以上法人或者其他组织可以组成一个联合体，以一个投标人的身份共同投标”，联合体投标系法定权利；第30 条、第48 条第2 款更明确非主体、非关键性工作可以分包并应在投标文件中载明。采购文件既不分主体与非主体环节、一律禁止分包，并且禁止联合体，既超越法律授权边界，又与自身“要求供应商基于阿里云/腾讯云/华为云原厂公有云搭建”“由供应商评估采购或开发新物业系统”的安排直接矛盾——云资源与物业系统本即对外采购环节，何来“全自做、零外协”之理？该等限制实质排除了绝大多数中专业供应商。</w:t>
      </w:r>
    </w:p>
    <w:p w14:paraId="1D29AA58">
      <w:pPr>
        <w:pStyle w:val="7"/>
        <w:spacing w:line="480" w:lineRule="auto"/>
        <w:ind w:firstLine="482" w:firstLineChars="200"/>
        <w:rPr>
          <w:rFonts w:hint="eastAsia" w:asciiTheme="minorEastAsia" w:hAnsiTheme="minorEastAsia" w:eastAsiaTheme="minorEastAsia" w:cstheme="minorEastAsia"/>
          <w:b w:val="0"/>
          <w:bCs w:val="0"/>
          <w:sz w:val="24"/>
          <w:lang w:val="en-US" w:eastAsia="zh-CN"/>
        </w:rPr>
      </w:pPr>
      <w:r>
        <w:rPr>
          <w:rFonts w:hint="eastAsia" w:asciiTheme="minorEastAsia" w:hAnsiTheme="minorEastAsia" w:cstheme="minorEastAsia"/>
          <w:b/>
          <w:bCs/>
          <w:sz w:val="24"/>
          <w:lang w:val="en-US" w:eastAsia="zh-CN"/>
        </w:rPr>
        <w:t>回复：</w:t>
      </w:r>
      <w:r>
        <w:rPr>
          <w:rFonts w:hint="eastAsia" w:asciiTheme="minorEastAsia" w:hAnsiTheme="minorEastAsia" w:cstheme="minorEastAsia"/>
          <w:b w:val="0"/>
          <w:bCs w:val="0"/>
          <w:sz w:val="24"/>
          <w:lang w:val="en-US" w:eastAsia="zh-CN"/>
        </w:rPr>
        <w:t>本项目不接受联合体参与，允许分包。</w:t>
      </w:r>
    </w:p>
    <w:p w14:paraId="192D9C1C">
      <w:pPr>
        <w:pStyle w:val="7"/>
        <w:spacing w:line="480" w:lineRule="auto"/>
        <w:ind w:firstLine="480" w:firstLineChars="200"/>
        <w:rPr>
          <w:rFonts w:hint="eastAsia" w:asciiTheme="minorEastAsia" w:hAnsiTheme="minorEastAsia" w:eastAsiaTheme="minorEastAsia" w:cstheme="minorEastAsia"/>
          <w:b w:val="0"/>
          <w:bCs w:val="0"/>
          <w:sz w:val="24"/>
          <w:lang w:val="en-US" w:eastAsia="zh-CN"/>
        </w:rPr>
      </w:pPr>
      <w:r>
        <w:rPr>
          <w:rFonts w:hint="eastAsia" w:asciiTheme="minorEastAsia" w:hAnsiTheme="minorEastAsia" w:cstheme="minorEastAsia"/>
          <w:b w:val="0"/>
          <w:bCs w:val="0"/>
          <w:sz w:val="24"/>
          <w:lang w:val="en-US" w:eastAsia="zh-CN"/>
        </w:rPr>
        <w:t>四、《采购文件》资信标第1 项：“供应商自2023 年1 月1 日以来具有单项合同金额不低于200 万元的应用中心（APP）类项目业绩的，每提供一个得6 分，本项满分6 分。”首先，“应用中心”并非我国软件或信息化行业通用术语，无国家标准、行业标准或统计口径支撑，明显指向特定既往项目名称；“应用中心（APP）类”与本项目“会员＋商城＋预约履约＋支付＋物业”的综合性平台性质亦不完全对应。其次，“每提供一个得6 分、满分6 分”意味着仅评审1 个业绩即达满分，形成“有则6 分、无则0 分”的断崖式区分，业绩数量多寡、合同规模大小、项目相关度高下均不产生区别，已非择优而是定点。第三，200 万元门槛与“仅计1 个”叠加，进一步控制能得分者范围。该条款与项目实际需要不相适应，违反了《实施条例》第32 条第2、7 项。</w:t>
      </w:r>
    </w:p>
    <w:p w14:paraId="70E56E07">
      <w:pPr>
        <w:pStyle w:val="7"/>
        <w:spacing w:line="480" w:lineRule="auto"/>
        <w:ind w:firstLine="482" w:firstLineChars="200"/>
        <w:rPr>
          <w:rFonts w:hint="default" w:asciiTheme="minorEastAsia" w:hAnsiTheme="minorEastAsia" w:cstheme="minorEastAsia"/>
          <w:b/>
          <w:bCs/>
          <w:sz w:val="24"/>
          <w:lang w:val="en-US"/>
        </w:rPr>
      </w:pPr>
      <w:r>
        <w:rPr>
          <w:rFonts w:hint="eastAsia" w:asciiTheme="minorEastAsia" w:hAnsiTheme="minorEastAsia" w:cstheme="minorEastAsia"/>
          <w:b/>
          <w:bCs/>
          <w:sz w:val="24"/>
          <w:lang w:val="en-US" w:eastAsia="zh-CN"/>
        </w:rPr>
        <w:t>回复：</w:t>
      </w:r>
      <w:r>
        <w:rPr>
          <w:rFonts w:hint="eastAsia" w:asciiTheme="minorEastAsia" w:hAnsiTheme="minorEastAsia" w:cstheme="minorEastAsia"/>
          <w:b w:val="0"/>
          <w:bCs w:val="0"/>
          <w:sz w:val="24"/>
          <w:lang w:val="en-US" w:eastAsia="zh-CN"/>
        </w:rPr>
        <w:t>1、本条款中“应用中心（APP）类”为描述性概括表述，并非限定合同名称必须出现“应用中心”四个字。评审时不以合同文件是否出现该文字作为判定依据，评审判断标准为：合同实质内容包含多端APP应用开发、综合业务应用平台建设的信息化项目。只要合同建设内容属于多端移动应用综合开发类项目，无论合同文本如何命名，均予以认可。本项并未限定特定项目名称，不存在指向特定既往项目的情形。2、供应商只要具备一项同等规模同类项目实施经验，即证明其具备完成本项目的同类实施能力，达到本项目对供应商同类项目经验的基本能力要求。本评审项仅考察供应商是否具备同类项目履约能力，并非通过业绩数量多少进一步比选优劣；项目择优还将通过技术标方案、服务方案、人员配置、报价等其他评审维度综合完成整体择优，并非依靠本单一业绩条款确定成交人，并未形成定点遴选效果。本项目最高限价为440万元，只要求200万元的业绩完全符合项目需求。该条款不予修改，按采购文件执行。</w:t>
      </w:r>
    </w:p>
    <w:p w14:paraId="104C333A">
      <w:pPr>
        <w:pStyle w:val="7"/>
        <w:spacing w:line="480" w:lineRule="auto"/>
        <w:ind w:firstLine="480" w:firstLineChars="200"/>
        <w:rPr>
          <w:rFonts w:hint="eastAsia" w:asciiTheme="minorEastAsia" w:hAnsiTheme="minorEastAsia" w:eastAsiaTheme="minorEastAsia" w:cstheme="minorEastAsia"/>
          <w:b w:val="0"/>
          <w:bCs w:val="0"/>
          <w:sz w:val="24"/>
          <w:lang w:val="en-US" w:eastAsia="zh-CN"/>
        </w:rPr>
      </w:pPr>
      <w:r>
        <w:rPr>
          <w:rFonts w:hint="eastAsia" w:asciiTheme="minorEastAsia" w:hAnsiTheme="minorEastAsia" w:cstheme="minorEastAsia"/>
          <w:b w:val="0"/>
          <w:bCs w:val="0"/>
          <w:sz w:val="24"/>
          <w:lang w:val="en-US" w:eastAsia="zh-CN"/>
        </w:rPr>
        <w:t>五、《采购文件》资信标第3 项：仅认可“用户管理系统或会员管理系统”“营销商城平台”两类软著/专利，每类每个3 分、最高6 分。本项目软件构成包括用户/会员、积分权益、预约履约、代购商城、统一支付、物业集成、运营数据分析等多个模块，而评分条款仅认可上述两类主题，既以偏概全、与项目实际软件构成不符，又通过限定特定主题而非“与本项目相关”的方式，将具备本项目综合开发能力、但软著登记主体不同的供应商一概排除在得分之外，明显违反《实施条例》第32 条第2 项。</w:t>
      </w:r>
    </w:p>
    <w:p w14:paraId="4474FA63">
      <w:pPr>
        <w:pStyle w:val="7"/>
        <w:spacing w:line="480" w:lineRule="auto"/>
        <w:ind w:firstLine="482" w:firstLineChars="200"/>
        <w:rPr>
          <w:rFonts w:hint="eastAsia" w:asciiTheme="minorEastAsia" w:hAnsiTheme="minorEastAsia" w:cstheme="minorEastAsia"/>
          <w:b w:val="0"/>
          <w:bCs w:val="0"/>
          <w:sz w:val="24"/>
          <w:lang w:val="en-US" w:eastAsia="zh-CN"/>
        </w:rPr>
      </w:pPr>
      <w:r>
        <w:rPr>
          <w:rFonts w:hint="eastAsia" w:asciiTheme="minorEastAsia" w:hAnsiTheme="minorEastAsia" w:cstheme="minorEastAsia"/>
          <w:b/>
          <w:bCs/>
          <w:sz w:val="24"/>
          <w:lang w:val="en-US" w:eastAsia="zh-CN"/>
        </w:rPr>
        <w:t>回复：</w:t>
      </w:r>
      <w:r>
        <w:rPr>
          <w:rFonts w:hint="eastAsia" w:asciiTheme="minorEastAsia" w:hAnsiTheme="minorEastAsia" w:cstheme="minorEastAsia"/>
          <w:b w:val="0"/>
          <w:bCs w:val="0"/>
          <w:sz w:val="24"/>
          <w:lang w:val="en-US" w:eastAsia="zh-CN"/>
        </w:rPr>
        <w:t>1、本项目建设内容当中，会员用户管理、营销商城平台是本项目业务核心基础模块，积分权益、预约履约、支付、物业对接、数据分析等功能均搭建在会员体系与商城交易模块之上开展业务流转。设置该两项软著/专利作为评审要素，目的是考察供应商在项目最核心业务模块的软件研发沉淀与技术积累，并非要求供应商拥有本项目全部子模块的知识产权。评审并非否定预约履约、物业集成、数据分析等其他模块的重要性，上述模块能力将在技术方案、人员配置、类似项目业绩等其他评审维度予以综合评判，并非仅依靠本知识产权单项完成全部择优。</w:t>
      </w:r>
    </w:p>
    <w:p w14:paraId="58A910CF">
      <w:pPr>
        <w:pStyle w:val="7"/>
        <w:spacing w:line="480" w:lineRule="auto"/>
        <w:ind w:firstLine="480" w:firstLineChars="200"/>
        <w:rPr>
          <w:rFonts w:hint="eastAsia" w:asciiTheme="minorEastAsia" w:hAnsiTheme="minorEastAsia" w:cstheme="minorEastAsia"/>
          <w:b w:val="0"/>
          <w:bCs w:val="0"/>
          <w:sz w:val="24"/>
          <w:lang w:val="en-US" w:eastAsia="zh-CN"/>
        </w:rPr>
      </w:pPr>
      <w:r>
        <w:rPr>
          <w:rFonts w:hint="eastAsia" w:asciiTheme="minorEastAsia" w:hAnsiTheme="minorEastAsia" w:cstheme="minorEastAsia"/>
          <w:b w:val="0"/>
          <w:bCs w:val="0"/>
          <w:sz w:val="24"/>
          <w:lang w:val="en-US" w:eastAsia="zh-CN"/>
        </w:rPr>
        <w:t>2、本项评审不机械局限于软件著作权证书的字面名称。评审时以软著登记的系统功能摘要、模块描述作为实质判断依据：如软著证书名称不完全一致，但软件著作权登记摘要内容实质涵盖会员用户管理、营销商城交易核心功能的，经评审委员会认定后，同样予以计分。并非软著文字标题不完全匹配即不予认可。</w:t>
      </w:r>
    </w:p>
    <w:p w14:paraId="5ABCEE65">
      <w:pPr>
        <w:pStyle w:val="7"/>
        <w:spacing w:line="480" w:lineRule="auto"/>
        <w:ind w:firstLine="480" w:firstLineChars="200"/>
        <w:rPr>
          <w:rFonts w:hint="eastAsia" w:asciiTheme="minorEastAsia" w:hAnsiTheme="minorEastAsia" w:eastAsiaTheme="minorEastAsia" w:cstheme="minorEastAsia"/>
          <w:b/>
          <w:bCs/>
          <w:sz w:val="24"/>
          <w:lang w:val="en-US" w:eastAsia="zh-CN"/>
        </w:rPr>
      </w:pPr>
      <w:r>
        <w:rPr>
          <w:rFonts w:hint="eastAsia" w:asciiTheme="minorEastAsia" w:hAnsiTheme="minorEastAsia" w:cstheme="minorEastAsia"/>
          <w:b w:val="0"/>
          <w:bCs w:val="0"/>
          <w:sz w:val="24"/>
          <w:lang w:val="en-US" w:eastAsia="zh-CN"/>
        </w:rPr>
        <w:t>本评分项为加分项，不属于资格条件，未将该两类软著作为响应准入门槛，无该软著仅不得本项分值，不影响供应商参与以及其他项目得分，不存在直接排除供应商的情形。该条款不予修改，按采购文件执行。</w:t>
      </w:r>
    </w:p>
    <w:p w14:paraId="2BF87B16">
      <w:pPr>
        <w:pStyle w:val="7"/>
        <w:spacing w:line="480" w:lineRule="auto"/>
        <w:ind w:firstLine="480" w:firstLineChars="200"/>
        <w:rPr>
          <w:rFonts w:hint="eastAsia" w:asciiTheme="minorEastAsia" w:hAnsiTheme="minorEastAsia" w:cstheme="minorEastAsia"/>
          <w:b w:val="0"/>
          <w:bCs w:val="0"/>
          <w:sz w:val="24"/>
          <w:lang w:val="en-US" w:eastAsia="zh-CN"/>
        </w:rPr>
      </w:pPr>
      <w:r>
        <w:rPr>
          <w:rFonts w:hint="eastAsia" w:asciiTheme="minorEastAsia" w:hAnsiTheme="minorEastAsia" w:cstheme="minorEastAsia"/>
          <w:b w:val="0"/>
          <w:bCs w:val="0"/>
          <w:sz w:val="24"/>
          <w:lang w:val="en-US" w:eastAsia="zh-CN"/>
        </w:rPr>
        <w:t>六、《采购文件》资信标第2 项：“具有有效期内公安机关颁发的信息系统安全等级保护备案证明三级及以上的得2 分。”依据《信息安全等级保护管理办法》，信息系统等级保护的定级、备案主体是系统的运营、使用单位，备案完成后由公安机关发放的是针对“特定已定级系统”的备案证明，随系统归属，并非颁发给软件供应商的通用资质证书。就本项目而言，拟建系统尚未建成运营，等保定级备案更无从谈起，要求供应商“已持有”该证明在逻辑上即不能成立。该条款混淆“系统”与“供应商”两个主体，事实上多数软件开发与集成供应商均不持有、亦不应持有以自身名义备案的等保证明，不当排除了大量具备安全设计、建设能力的合格供应商。若采购人旨在考察安全能力，应改为“具备信息系统安全等级保护三级方案设计、实施或测评服务能力等可操作表述。</w:t>
      </w:r>
    </w:p>
    <w:p w14:paraId="5335A744">
      <w:pPr>
        <w:pStyle w:val="7"/>
        <w:spacing w:line="480" w:lineRule="auto"/>
        <w:ind w:firstLine="482" w:firstLineChars="200"/>
        <w:rPr>
          <w:rFonts w:hint="eastAsia" w:asciiTheme="minorEastAsia" w:hAnsiTheme="minorEastAsia" w:cstheme="minorEastAsia"/>
          <w:b w:val="0"/>
          <w:bCs w:val="0"/>
          <w:sz w:val="24"/>
          <w:lang w:val="en-US" w:eastAsia="zh-CN"/>
        </w:rPr>
      </w:pPr>
      <w:r>
        <w:rPr>
          <w:rFonts w:hint="eastAsia" w:asciiTheme="minorEastAsia" w:hAnsiTheme="minorEastAsia" w:cstheme="minorEastAsia"/>
          <w:b/>
          <w:bCs/>
          <w:sz w:val="24"/>
          <w:lang w:val="en-US" w:eastAsia="zh-CN"/>
        </w:rPr>
        <w:t>回复：</w:t>
      </w:r>
      <w:r>
        <w:rPr>
          <w:rFonts w:hint="eastAsia" w:asciiTheme="minorEastAsia" w:hAnsiTheme="minorEastAsia" w:cstheme="minorEastAsia"/>
          <w:b w:val="0"/>
          <w:bCs w:val="0"/>
          <w:sz w:val="24"/>
          <w:lang w:val="en-US" w:eastAsia="zh-CN"/>
        </w:rPr>
        <w:t>详见回复一。</w:t>
      </w:r>
    </w:p>
    <w:p w14:paraId="0ACED981">
      <w:pPr>
        <w:pStyle w:val="7"/>
        <w:spacing w:line="480" w:lineRule="auto"/>
        <w:ind w:firstLine="480" w:firstLineChars="200"/>
        <w:rPr>
          <w:rFonts w:hint="default" w:asciiTheme="minorEastAsia" w:hAnsiTheme="minorEastAsia" w:cstheme="minorEastAsia"/>
          <w:b w:val="0"/>
          <w:bCs w:val="0"/>
          <w:sz w:val="24"/>
          <w:lang w:val="en-US" w:eastAsia="zh-CN"/>
        </w:rPr>
      </w:pPr>
      <w:r>
        <w:rPr>
          <w:rFonts w:hint="eastAsia" w:asciiTheme="minorEastAsia" w:hAnsiTheme="minorEastAsia" w:cstheme="minorEastAsia"/>
          <w:b w:val="0"/>
          <w:bCs w:val="0"/>
          <w:sz w:val="24"/>
          <w:lang w:val="en-US" w:eastAsia="zh-CN"/>
        </w:rPr>
        <w:t>七、《采购文件》资信标第4 项：“项目负责人或技术负责人具有高级信息系统项目管理师证书的得3 分；具有中级系统集成项目管理工程师证书的得2 分。”本项目系软件开发与系统集成服务项目，项目负责人/技术负责人的胜任能力本应以学历背景、专业工作经历、同类项目业绩、技术职称或职业资格等多维度综合考察。该条款却仅认可“高级信息系统项目管理师”“中级系统集成项目管理工程师”两种特定证书作为排他的唯一计分口径，将具备同等乃至更强项目与技术管理能力、但持有其他相应证书（如系统架构设计师、软件设计师、其他同等级技术职称或国际通行项目管理认证）的负责人一律排除在得分之外；加之“高级3 分、中级2 分、无证书0 分”的设置，与业绩、软著条款同构，形成又一处“有则得分、无则零分”的断崖式区分。该条款与项目实际需要不相适应、具有明显指向性，违反《实施条例》第32 条第2 项，应改为“综合考察负责人胜任能力并相应计分”。</w:t>
      </w:r>
    </w:p>
    <w:p w14:paraId="2A9F8153">
      <w:pPr>
        <w:pStyle w:val="7"/>
        <w:spacing w:line="480" w:lineRule="auto"/>
        <w:ind w:firstLine="482" w:firstLineChars="200"/>
        <w:rPr>
          <w:rFonts w:hint="eastAsia" w:asciiTheme="minorEastAsia" w:hAnsiTheme="minorEastAsia" w:cstheme="minorEastAsia"/>
          <w:b w:val="0"/>
          <w:bCs w:val="0"/>
          <w:sz w:val="24"/>
          <w:lang w:val="en-US" w:eastAsia="zh-CN"/>
        </w:rPr>
      </w:pPr>
      <w:r>
        <w:rPr>
          <w:rFonts w:hint="eastAsia" w:asciiTheme="minorEastAsia" w:hAnsiTheme="minorEastAsia" w:cstheme="minorEastAsia"/>
          <w:b/>
          <w:bCs/>
          <w:sz w:val="24"/>
          <w:lang w:val="en-US" w:eastAsia="zh-CN"/>
        </w:rPr>
        <w:t>回复：</w:t>
      </w:r>
      <w:r>
        <w:rPr>
          <w:rFonts w:hint="eastAsia" w:asciiTheme="minorEastAsia" w:hAnsiTheme="minorEastAsia" w:cstheme="minorEastAsia"/>
          <w:b w:val="0"/>
          <w:bCs w:val="0"/>
          <w:sz w:val="24"/>
          <w:lang w:val="en-US" w:eastAsia="zh-CN"/>
        </w:rPr>
        <w:t>本项目属于软件开发+多端系统集成项目，需要项目负责人具备信息化项目整体范围管控、进度管控、风险管控、多方接口协调、交付全流程管理能力。高级信息系统项目管理师、系统集成项目管理工程师，属于国家计算机技术与软件专业技术资格（水平）考试序列，是国内信息化集成类项目通行的项目管理类职业资格，考核内容覆盖信息化项目整体策划、需求管理、系统集成、风险管控等内容，与本项目负责人、技术负责人岗位履职要点高度匹配。本评审项属于加分项，并非资格准入条件，不具备该证书不影响供应商正常参与，仅不得本项对应分值，不存在直接排斥供应商的后果。该条款不予修改，按采购文件执行。</w:t>
      </w:r>
    </w:p>
    <w:p w14:paraId="773A505C">
      <w:pPr>
        <w:pStyle w:val="7"/>
        <w:spacing w:line="480" w:lineRule="auto"/>
        <w:ind w:firstLine="480" w:firstLineChars="200"/>
        <w:rPr>
          <w:rFonts w:hint="eastAsia" w:asciiTheme="minorEastAsia" w:hAnsiTheme="minorEastAsia" w:cstheme="minorEastAsia"/>
          <w:b w:val="0"/>
          <w:bCs w:val="0"/>
          <w:sz w:val="24"/>
          <w:lang w:val="en-US" w:eastAsia="zh-CN"/>
        </w:rPr>
      </w:pPr>
      <w:r>
        <w:rPr>
          <w:rFonts w:hint="eastAsia" w:asciiTheme="minorEastAsia" w:hAnsiTheme="minorEastAsia" w:cstheme="minorEastAsia"/>
          <w:b w:val="0"/>
          <w:bCs w:val="0"/>
          <w:sz w:val="24"/>
          <w:lang w:val="en-US" w:eastAsia="zh-CN"/>
        </w:rPr>
        <w:t>八、《采购文件》第1.11 项、第10.7 条第5 项均表示“严禁分包”，而第七章《诚信响应承诺书》第八条却写明“若有分包征得建设单位同意”。前者对分包作全面禁止，后者又预设允许分包之可能，同一文件对同一事项作出相反约定。供应商据此无论作出何种承诺，均可能被认定与其中一种表述不符，直接影响响应文件的编制与后续评审，应明示“是否允许分包及允许范围”并予统一。</w:t>
      </w:r>
    </w:p>
    <w:p w14:paraId="6E6AD7A1">
      <w:pPr>
        <w:pStyle w:val="7"/>
        <w:spacing w:line="480" w:lineRule="auto"/>
        <w:ind w:firstLine="482" w:firstLineChars="200"/>
        <w:rPr>
          <w:rFonts w:hint="default" w:asciiTheme="minorEastAsia" w:hAnsiTheme="minorEastAsia" w:cstheme="minorEastAsia"/>
          <w:b w:val="0"/>
          <w:bCs w:val="0"/>
          <w:sz w:val="24"/>
          <w:lang w:val="en-US" w:eastAsia="zh-CN"/>
        </w:rPr>
      </w:pPr>
      <w:r>
        <w:rPr>
          <w:rFonts w:hint="eastAsia" w:asciiTheme="minorEastAsia" w:hAnsiTheme="minorEastAsia" w:cstheme="minorEastAsia"/>
          <w:b/>
          <w:bCs/>
          <w:sz w:val="24"/>
          <w:lang w:val="en-US" w:eastAsia="zh-CN"/>
        </w:rPr>
        <w:t>回复：</w:t>
      </w:r>
      <w:r>
        <w:rPr>
          <w:rFonts w:hint="eastAsia" w:asciiTheme="minorEastAsia" w:hAnsiTheme="minorEastAsia" w:cstheme="minorEastAsia"/>
          <w:b w:val="0"/>
          <w:bCs w:val="0"/>
          <w:sz w:val="24"/>
          <w:lang w:val="en-US" w:eastAsia="zh-CN"/>
        </w:rPr>
        <w:t>本项目允许分包，若有分包需征得采购单位同意。</w:t>
      </w:r>
    </w:p>
    <w:p w14:paraId="0B7ACA53">
      <w:pPr>
        <w:pStyle w:val="7"/>
        <w:spacing w:line="480" w:lineRule="auto"/>
        <w:ind w:firstLine="480" w:firstLineChars="200"/>
        <w:rPr>
          <w:rFonts w:hint="eastAsia" w:asciiTheme="minorEastAsia" w:hAnsiTheme="minorEastAsia" w:cstheme="minorEastAsia"/>
          <w:b w:val="0"/>
          <w:bCs w:val="0"/>
          <w:sz w:val="24"/>
          <w:lang w:val="en-US" w:eastAsia="zh-CN"/>
        </w:rPr>
      </w:pPr>
      <w:r>
        <w:rPr>
          <w:rFonts w:hint="eastAsia" w:asciiTheme="minorEastAsia" w:hAnsiTheme="minorEastAsia" w:cstheme="minorEastAsia"/>
          <w:b w:val="0"/>
          <w:bCs w:val="0"/>
          <w:sz w:val="24"/>
          <w:lang w:val="en-US" w:eastAsia="zh-CN"/>
        </w:rPr>
        <w:t>九、项目为软件开发、系统集成类服务项目，无货物生产制造环节，但采购文件照搬货物采购模板，将“且为生产厂家”设为资格条件。现行法规、标准并无软件服务商“生产厂家”的认定标准，供应商无法判断是否符合条件，亦无对应证明材料可提交。同时资格审查办法未设置该项的审查资料及不合格判定标准，条款流于形式却预留自由裁量空间:采购文件又列明阿里云、腾讯、华为云云服务品牌，明确云资源需向外采购，与“生产厂家”应自行完成全部工作的前提自相矛盾。该资格条件与本项目软件开发服务的实际需要不相适应，违反《招标投标法》第十八条、第十九条及《招标投标法实施条例》第三十二条第(二)项，属于以不合理条件限制、排斥潜在供应商。质疑请求:删除资格要求中“且为生产厂家”表述，调整为适配软件开发系统集成服务项目的资格条件。</w:t>
      </w:r>
    </w:p>
    <w:p w14:paraId="77271843">
      <w:pPr>
        <w:pStyle w:val="7"/>
        <w:spacing w:line="480" w:lineRule="auto"/>
        <w:ind w:firstLine="482" w:firstLineChars="200"/>
        <w:rPr>
          <w:rFonts w:hint="default" w:asciiTheme="minorEastAsia" w:hAnsiTheme="minorEastAsia" w:cstheme="minorEastAsia"/>
          <w:b w:val="0"/>
          <w:bCs w:val="0"/>
          <w:sz w:val="24"/>
          <w:lang w:val="en-US" w:eastAsia="zh-CN"/>
        </w:rPr>
      </w:pPr>
      <w:r>
        <w:rPr>
          <w:rFonts w:hint="eastAsia" w:asciiTheme="minorEastAsia" w:hAnsiTheme="minorEastAsia" w:cstheme="minorEastAsia"/>
          <w:b/>
          <w:bCs/>
          <w:sz w:val="24"/>
          <w:lang w:val="en-US" w:eastAsia="zh-CN"/>
        </w:rPr>
        <w:t>回复：</w:t>
      </w:r>
      <w:r>
        <w:rPr>
          <w:rFonts w:hint="eastAsia" w:asciiTheme="minorEastAsia" w:hAnsiTheme="minorEastAsia" w:cstheme="minorEastAsia"/>
          <w:b w:val="0"/>
          <w:bCs w:val="0"/>
          <w:sz w:val="24"/>
          <w:lang w:val="en-US" w:eastAsia="zh-CN"/>
        </w:rPr>
        <w:t>详见回复二。</w:t>
      </w:r>
    </w:p>
    <w:p w14:paraId="4798C4F1">
      <w:pPr>
        <w:pStyle w:val="7"/>
        <w:spacing w:line="480" w:lineRule="auto"/>
        <w:ind w:firstLine="480" w:firstLineChars="200"/>
        <w:rPr>
          <w:rFonts w:hint="eastAsia" w:asciiTheme="minorEastAsia" w:hAnsiTheme="minorEastAsia" w:eastAsiaTheme="minorEastAsia" w:cstheme="minorEastAsia"/>
          <w:b w:val="0"/>
          <w:bCs w:val="0"/>
          <w:sz w:val="24"/>
          <w:lang w:val="en-US" w:eastAsia="zh-CN"/>
        </w:rPr>
      </w:pPr>
      <w:r>
        <w:rPr>
          <w:rFonts w:hint="eastAsia" w:asciiTheme="minorEastAsia" w:hAnsiTheme="minorEastAsia" w:cstheme="minorEastAsia"/>
          <w:b w:val="0"/>
          <w:bCs w:val="0"/>
          <w:sz w:val="24"/>
          <w:lang w:val="en-US" w:eastAsia="zh-CN"/>
        </w:rPr>
        <w:t>十、应用中心(APP)类”并非国家标准或行业通用术语，属于自定义表述:本项目是会员、商城、支付、物业一体化综合平台，不等同于单纯APP应用中心，业绩类型与项目实际需求不完全匹配。评分采取1个达标业绩即满分的断崖式计分，不考量业绩数量、业务相关度，并非择优评审。同时该业绩要求与前述“生产厂家”资格条件客观互斥:生产制造企业难以具备该类软件业绩，普通软件企业虽可承接 APP开发，但无法满足“生产厂家”资格，客观排除大量具备综合软件开发能力的市场主体，违反《招标投标法实施条例》第三十二条第(二)项、第(七)项。质疑请求:修改业绩评分条款，删除“单项&gt;200万元”“应用中心(APP)类”“1个即满分”限定，调整为适配综合性软件开发、系统集成项目，按照项目数量、规模、业务相关度设置梯度计分标准。</w:t>
      </w:r>
    </w:p>
    <w:p w14:paraId="27A45945">
      <w:pPr>
        <w:pStyle w:val="7"/>
        <w:spacing w:line="480" w:lineRule="auto"/>
        <w:ind w:firstLine="482" w:firstLineChars="200"/>
        <w:rPr>
          <w:rFonts w:hint="default" w:asciiTheme="minorEastAsia" w:hAnsiTheme="minorEastAsia" w:eastAsiaTheme="minorEastAsia" w:cstheme="minorEastAsia"/>
          <w:b/>
          <w:bCs/>
          <w:sz w:val="24"/>
          <w:lang w:val="en-US" w:eastAsia="zh-CN"/>
        </w:rPr>
      </w:pPr>
      <w:r>
        <w:rPr>
          <w:rFonts w:hint="eastAsia" w:asciiTheme="minorEastAsia" w:hAnsiTheme="minorEastAsia" w:cstheme="minorEastAsia"/>
          <w:b/>
          <w:bCs/>
          <w:sz w:val="24"/>
          <w:lang w:val="en-US" w:eastAsia="zh-CN"/>
        </w:rPr>
        <w:t>回复：</w:t>
      </w:r>
      <w:r>
        <w:rPr>
          <w:rFonts w:hint="eastAsia" w:asciiTheme="minorEastAsia" w:hAnsiTheme="minorEastAsia" w:cstheme="minorEastAsia"/>
          <w:b w:val="0"/>
          <w:bCs w:val="0"/>
          <w:sz w:val="24"/>
          <w:lang w:val="en-US" w:eastAsia="zh-CN"/>
        </w:rPr>
        <w:t>详见回复四。</w:t>
      </w:r>
    </w:p>
    <w:p w14:paraId="764C4CC2">
      <w:pPr>
        <w:pStyle w:val="7"/>
        <w:spacing w:line="480" w:lineRule="auto"/>
        <w:ind w:firstLine="480" w:firstLineChars="200"/>
        <w:rPr>
          <w:rFonts w:hint="eastAsia" w:asciiTheme="minorEastAsia" w:hAnsiTheme="minorEastAsia" w:cstheme="minorEastAsia"/>
          <w:b w:val="0"/>
          <w:bCs w:val="0"/>
          <w:sz w:val="24"/>
          <w:lang w:val="en-US" w:eastAsia="zh-CN"/>
        </w:rPr>
      </w:pPr>
      <w:r>
        <w:rPr>
          <w:rFonts w:hint="eastAsia" w:asciiTheme="minorEastAsia" w:hAnsiTheme="minorEastAsia" w:cstheme="minorEastAsia"/>
          <w:b w:val="0"/>
          <w:bCs w:val="0"/>
          <w:sz w:val="24"/>
          <w:lang w:val="en-US" w:eastAsia="zh-CN"/>
        </w:rPr>
        <w:t>十一、事实与理由:依据《信息安全等级保护管理办法》，等保三级备案证明出具对象是信息系统运营使用单位(采购人)，针对特定业务系统，并非颁发给软件开发服务商的企业资质。绝大多数软件、集成服务商无法自身持有业务系统的等保三级备案证明。本项目仅需要建成的软件系统可达三级等保要求，采购文件却将项目建成后系统应达成的安全结果，前置要求投标供应商事前持有备案证明，混淆建设主体与实施主体，不合理排斥大量具备实施能力的供应商，违反《招标投标法实施条例》第三十二条第(二)项。质疑请求:修改等保三级评分条款，取消供应商须持有公安机关颁发的等保三级备案证明的评审要求，调整为评审供应商承诺本项目建成交付的系统达到信息系统安全等级保护三级标准。</w:t>
      </w:r>
    </w:p>
    <w:p w14:paraId="1BCD962E">
      <w:pPr>
        <w:pStyle w:val="7"/>
        <w:spacing w:line="480" w:lineRule="auto"/>
        <w:ind w:firstLine="482" w:firstLineChars="200"/>
        <w:rPr>
          <w:rFonts w:hint="eastAsia" w:asciiTheme="minorEastAsia" w:hAnsiTheme="minorEastAsia" w:cstheme="minorEastAsia"/>
          <w:b/>
          <w:bCs/>
          <w:sz w:val="24"/>
        </w:rPr>
      </w:pPr>
      <w:r>
        <w:rPr>
          <w:rFonts w:hint="eastAsia" w:asciiTheme="minorEastAsia" w:hAnsiTheme="minorEastAsia" w:cstheme="minorEastAsia"/>
          <w:b/>
          <w:bCs/>
          <w:sz w:val="24"/>
          <w:lang w:val="en-US" w:eastAsia="zh-CN"/>
        </w:rPr>
        <w:t>回复：</w:t>
      </w:r>
      <w:r>
        <w:rPr>
          <w:rFonts w:hint="eastAsia" w:asciiTheme="minorEastAsia" w:hAnsiTheme="minorEastAsia" w:cstheme="minorEastAsia"/>
          <w:b w:val="0"/>
          <w:bCs w:val="0"/>
          <w:sz w:val="24"/>
          <w:lang w:val="en-US" w:eastAsia="zh-CN"/>
        </w:rPr>
        <w:t>详见回复一。</w:t>
      </w:r>
      <w:bookmarkStart w:id="0" w:name="_GoBack"/>
      <w:bookmarkEnd w:id="0"/>
    </w:p>
    <w:p w14:paraId="71509FE8">
      <w:pPr>
        <w:pStyle w:val="7"/>
        <w:spacing w:line="480" w:lineRule="auto"/>
        <w:ind w:firstLine="480"/>
        <w:rPr>
          <w:rFonts w:hint="eastAsia" w:asciiTheme="minorEastAsia" w:hAnsiTheme="minorEastAsia" w:cstheme="minorEastAsia"/>
          <w:b/>
          <w:bCs/>
          <w:sz w:val="24"/>
        </w:rPr>
      </w:pPr>
      <w:r>
        <w:rPr>
          <w:rFonts w:hint="eastAsia" w:asciiTheme="minorEastAsia" w:hAnsiTheme="minorEastAsia" w:cstheme="minorEastAsia"/>
          <w:b/>
          <w:bCs/>
          <w:sz w:val="24"/>
        </w:rPr>
        <w:t>现对“</w:t>
      </w:r>
      <w:r>
        <w:rPr>
          <w:rFonts w:hint="eastAsia" w:asciiTheme="minorEastAsia" w:hAnsiTheme="minorEastAsia" w:cstheme="minorEastAsia"/>
          <w:b/>
          <w:bCs/>
          <w:sz w:val="24"/>
          <w:lang w:eastAsia="zh-CN"/>
        </w:rPr>
        <w:t>亭城文旅本地生活服务平台系统建设项目（一阶段）</w:t>
      </w:r>
      <w:r>
        <w:rPr>
          <w:rFonts w:hint="eastAsia" w:asciiTheme="minorEastAsia" w:hAnsiTheme="minorEastAsia" w:cstheme="minorEastAsia"/>
          <w:b/>
          <w:bCs/>
          <w:sz w:val="24"/>
        </w:rPr>
        <w:t>”如下</w:t>
      </w:r>
      <w:r>
        <w:rPr>
          <w:rFonts w:hint="eastAsia" w:asciiTheme="minorEastAsia" w:hAnsiTheme="minorEastAsia" w:cstheme="minorEastAsia"/>
          <w:b/>
          <w:bCs/>
          <w:sz w:val="24"/>
          <w:lang w:val="en-US" w:eastAsia="zh-CN"/>
        </w:rPr>
        <w:t>澄清</w:t>
      </w:r>
      <w:r>
        <w:rPr>
          <w:rFonts w:hint="eastAsia" w:asciiTheme="minorEastAsia" w:hAnsiTheme="minorEastAsia" w:cstheme="minorEastAsia"/>
          <w:b/>
          <w:bCs/>
          <w:sz w:val="24"/>
        </w:rPr>
        <w:t>：</w:t>
      </w:r>
    </w:p>
    <w:p w14:paraId="5DCE6CC2">
      <w:pPr>
        <w:pStyle w:val="7"/>
        <w:spacing w:line="480" w:lineRule="auto"/>
        <w:ind w:firstLine="480"/>
        <w:rPr>
          <w:rFonts w:hint="default" w:asciiTheme="minorEastAsia" w:hAnsiTheme="minorEastAsia" w:cstheme="minorEastAsia"/>
          <w:b w:val="0"/>
          <w:bCs w:val="0"/>
          <w:sz w:val="24"/>
          <w:lang w:val="en-US" w:eastAsia="zh-CN"/>
        </w:rPr>
      </w:pPr>
      <w:r>
        <w:rPr>
          <w:rFonts w:hint="eastAsia" w:asciiTheme="minorEastAsia" w:hAnsiTheme="minorEastAsia" w:cstheme="minorEastAsia"/>
          <w:b w:val="0"/>
          <w:bCs w:val="0"/>
          <w:sz w:val="24"/>
          <w:lang w:val="en-US" w:eastAsia="zh-CN"/>
        </w:rPr>
        <w:t>一、本项目递交响应文件的截止时间、响应保证金缴纳截止时间、开标时间调整为2026年9月11日8时30分。</w:t>
      </w:r>
    </w:p>
    <w:p w14:paraId="50FEC6B2">
      <w:pPr>
        <w:pStyle w:val="7"/>
        <w:spacing w:line="480" w:lineRule="auto"/>
        <w:ind w:firstLine="480"/>
        <w:rPr>
          <w:rFonts w:hint="eastAsia" w:asciiTheme="minorEastAsia" w:hAnsiTheme="minorEastAsia" w:cstheme="minorEastAsia"/>
          <w:b w:val="0"/>
          <w:bCs w:val="0"/>
          <w:sz w:val="24"/>
          <w:lang w:val="en-US" w:eastAsia="zh-CN"/>
        </w:rPr>
      </w:pPr>
      <w:r>
        <w:rPr>
          <w:rFonts w:hint="eastAsia" w:asciiTheme="minorEastAsia" w:hAnsiTheme="minorEastAsia" w:cstheme="minorEastAsia"/>
          <w:b w:val="0"/>
          <w:bCs w:val="0"/>
          <w:sz w:val="24"/>
          <w:lang w:val="en-US" w:eastAsia="zh-CN"/>
        </w:rPr>
        <w:t>二、本项目允许分包，若有分包需征得采购单位同意。</w:t>
      </w:r>
    </w:p>
    <w:p w14:paraId="4F931257">
      <w:pPr>
        <w:pStyle w:val="7"/>
        <w:spacing w:line="480" w:lineRule="auto"/>
        <w:ind w:firstLine="480"/>
        <w:rPr>
          <w:rFonts w:hint="default" w:asciiTheme="minorEastAsia" w:hAnsiTheme="minorEastAsia" w:cstheme="minorEastAsia"/>
          <w:b w:val="0"/>
          <w:bCs w:val="0"/>
          <w:sz w:val="24"/>
          <w:lang w:val="en-US" w:eastAsia="zh-CN"/>
        </w:rPr>
      </w:pPr>
      <w:r>
        <w:rPr>
          <w:rFonts w:hint="eastAsia" w:asciiTheme="minorEastAsia" w:hAnsiTheme="minorEastAsia" w:cstheme="minorEastAsia"/>
          <w:b w:val="0"/>
          <w:bCs w:val="0"/>
          <w:sz w:val="24"/>
          <w:lang w:val="en-US" w:eastAsia="zh-CN"/>
        </w:rPr>
        <w:t>三、凡与本项目相关的外部系统对接所产生的全部费用，均已包含在本次响应报价内。请各潜在供应商充分评估各项成本因素，审慎报价。</w:t>
      </w:r>
    </w:p>
    <w:p w14:paraId="1A3C6592">
      <w:pPr>
        <w:pStyle w:val="7"/>
        <w:spacing w:line="480" w:lineRule="auto"/>
        <w:ind w:firstLine="482" w:firstLineChars="200"/>
        <w:rPr>
          <w:rFonts w:asciiTheme="minorEastAsia" w:hAnsiTheme="minorEastAsia" w:cstheme="minorEastAsia"/>
          <w:sz w:val="24"/>
        </w:rPr>
      </w:pPr>
      <w:r>
        <w:rPr>
          <w:rFonts w:hint="eastAsia" w:asciiTheme="minorEastAsia" w:hAnsiTheme="minorEastAsia" w:cstheme="minorEastAsia"/>
          <w:b/>
          <w:bCs/>
          <w:sz w:val="24"/>
        </w:rPr>
        <w:t>注：此</w:t>
      </w:r>
      <w:r>
        <w:rPr>
          <w:rFonts w:hint="eastAsia" w:asciiTheme="minorEastAsia" w:hAnsiTheme="minorEastAsia" w:cstheme="minorEastAsia"/>
          <w:b/>
          <w:bCs/>
          <w:sz w:val="24"/>
          <w:lang w:val="en-US" w:eastAsia="zh-CN"/>
        </w:rPr>
        <w:t>答疑澄清</w:t>
      </w:r>
      <w:r>
        <w:rPr>
          <w:rFonts w:hint="eastAsia" w:asciiTheme="minorEastAsia" w:hAnsiTheme="minorEastAsia" w:cstheme="minorEastAsia"/>
          <w:b/>
          <w:bCs/>
          <w:sz w:val="24"/>
        </w:rPr>
        <w:t>视同</w:t>
      </w:r>
      <w:r>
        <w:rPr>
          <w:rFonts w:hint="eastAsia" w:asciiTheme="minorEastAsia" w:hAnsiTheme="minorEastAsia" w:cstheme="minorEastAsia"/>
          <w:b/>
          <w:bCs/>
          <w:sz w:val="24"/>
          <w:lang w:val="en-US" w:eastAsia="zh-CN"/>
        </w:rPr>
        <w:t>采购</w:t>
      </w:r>
      <w:r>
        <w:rPr>
          <w:rFonts w:hint="eastAsia" w:asciiTheme="minorEastAsia" w:hAnsiTheme="minorEastAsia" w:cstheme="minorEastAsia"/>
          <w:b/>
          <w:bCs/>
          <w:sz w:val="24"/>
        </w:rPr>
        <w:t>文件的组成部分，与</w:t>
      </w:r>
      <w:r>
        <w:rPr>
          <w:rFonts w:hint="eastAsia" w:asciiTheme="minorEastAsia" w:hAnsiTheme="minorEastAsia" w:cstheme="minorEastAsia"/>
          <w:b/>
          <w:bCs/>
          <w:sz w:val="24"/>
          <w:lang w:val="en-US" w:eastAsia="zh-CN"/>
        </w:rPr>
        <w:t>采购</w:t>
      </w:r>
      <w:r>
        <w:rPr>
          <w:rFonts w:hint="eastAsia" w:asciiTheme="minorEastAsia" w:hAnsiTheme="minorEastAsia" w:cstheme="minorEastAsia"/>
          <w:b/>
          <w:bCs/>
          <w:sz w:val="24"/>
        </w:rPr>
        <w:t>文件具有同等法律效力。请各潜在</w:t>
      </w:r>
      <w:r>
        <w:rPr>
          <w:rFonts w:hint="eastAsia" w:asciiTheme="minorEastAsia" w:hAnsiTheme="minorEastAsia" w:cstheme="minorEastAsia"/>
          <w:b/>
          <w:bCs/>
          <w:sz w:val="24"/>
          <w:lang w:val="en-US" w:eastAsia="zh-CN"/>
        </w:rPr>
        <w:t>供应商</w:t>
      </w:r>
      <w:r>
        <w:rPr>
          <w:rFonts w:hint="eastAsia" w:asciiTheme="minorEastAsia" w:hAnsiTheme="minorEastAsia" w:cstheme="minorEastAsia"/>
          <w:b/>
          <w:bCs/>
          <w:sz w:val="24"/>
        </w:rPr>
        <w:t>及时查看下载。如因</w:t>
      </w:r>
      <w:r>
        <w:rPr>
          <w:rFonts w:hint="eastAsia" w:asciiTheme="minorEastAsia" w:hAnsiTheme="minorEastAsia" w:cstheme="minorEastAsia"/>
          <w:b/>
          <w:bCs/>
          <w:sz w:val="24"/>
          <w:lang w:val="en-US" w:eastAsia="zh-CN"/>
        </w:rPr>
        <w:t>供应商</w:t>
      </w:r>
      <w:r>
        <w:rPr>
          <w:rFonts w:hint="eastAsia" w:asciiTheme="minorEastAsia" w:hAnsiTheme="minorEastAsia" w:cstheme="minorEastAsia"/>
          <w:b/>
          <w:bCs/>
          <w:sz w:val="24"/>
        </w:rPr>
        <w:t>不及时查看，造成后果由</w:t>
      </w:r>
      <w:r>
        <w:rPr>
          <w:rFonts w:hint="eastAsia" w:asciiTheme="minorEastAsia" w:hAnsiTheme="minorEastAsia" w:cstheme="minorEastAsia"/>
          <w:b/>
          <w:bCs/>
          <w:sz w:val="24"/>
          <w:lang w:val="en-US" w:eastAsia="zh-CN"/>
        </w:rPr>
        <w:t>供应商</w:t>
      </w:r>
      <w:r>
        <w:rPr>
          <w:rFonts w:hint="eastAsia" w:asciiTheme="minorEastAsia" w:hAnsiTheme="minorEastAsia" w:cstheme="minorEastAsia"/>
          <w:b/>
          <w:bCs/>
          <w:sz w:val="24"/>
        </w:rPr>
        <w:t>自行承担</w:t>
      </w:r>
      <w:r>
        <w:rPr>
          <w:rFonts w:hint="eastAsia" w:asciiTheme="minorEastAsia" w:hAnsiTheme="minorEastAsia" w:cstheme="minorEastAsia"/>
          <w:b/>
          <w:bCs/>
          <w:sz w:val="24"/>
          <w:lang w:eastAsia="zh-CN"/>
        </w:rPr>
        <w:t>。</w:t>
      </w:r>
      <w:r>
        <w:rPr>
          <w:rFonts w:hint="eastAsia" w:asciiTheme="minorEastAsia" w:hAnsiTheme="minorEastAsia" w:cstheme="minorEastAsia"/>
          <w:b/>
          <w:bCs/>
          <w:sz w:val="24"/>
        </w:rPr>
        <w:t>　</w:t>
      </w:r>
    </w:p>
    <w:p w14:paraId="3945348D">
      <w:pPr>
        <w:pStyle w:val="7"/>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asciiTheme="minorEastAsia" w:hAnsiTheme="minorEastAsia" w:cstheme="minorEastAsia"/>
          <w:sz w:val="24"/>
        </w:rPr>
      </w:pPr>
      <w:r>
        <w:rPr>
          <w:rFonts w:hint="eastAsia" w:asciiTheme="minorEastAsia" w:hAnsiTheme="minorEastAsia" w:cstheme="minorEastAsia"/>
          <w:sz w:val="24"/>
          <w:lang w:val="en-US" w:eastAsia="zh-CN"/>
        </w:rPr>
        <w:t>采购</w:t>
      </w:r>
      <w:r>
        <w:rPr>
          <w:rFonts w:hint="eastAsia" w:asciiTheme="minorEastAsia" w:hAnsiTheme="minorEastAsia" w:cstheme="minorEastAsia"/>
          <w:sz w:val="24"/>
        </w:rPr>
        <w:t xml:space="preserve">人名称：滁州市亭城文旅生活科技有限公司 </w:t>
      </w:r>
    </w:p>
    <w:p w14:paraId="7DCEEF0A">
      <w:pPr>
        <w:pStyle w:val="7"/>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asciiTheme="minorEastAsia" w:hAnsiTheme="minorEastAsia" w:cstheme="minorEastAsia"/>
          <w:sz w:val="24"/>
        </w:rPr>
      </w:pPr>
      <w:r>
        <w:rPr>
          <w:rFonts w:hint="eastAsia" w:asciiTheme="minorEastAsia" w:hAnsiTheme="minorEastAsia" w:cstheme="minorEastAsia"/>
          <w:sz w:val="24"/>
        </w:rPr>
        <w:t xml:space="preserve">地址：安徽省滁州市南谯区龙蟠大道与仁和路交叉口西南侧 滁州市5g数据产业研发中心16楼  </w:t>
      </w:r>
    </w:p>
    <w:p w14:paraId="20B46C61">
      <w:pPr>
        <w:pStyle w:val="7"/>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cstheme="minorEastAsia"/>
          <w:sz w:val="24"/>
        </w:rPr>
      </w:pPr>
      <w:r>
        <w:rPr>
          <w:rFonts w:hint="eastAsia" w:asciiTheme="minorEastAsia" w:hAnsiTheme="minorEastAsia" w:cstheme="minorEastAsia"/>
          <w:sz w:val="24"/>
        </w:rPr>
        <w:t>联系人：时靖宇</w:t>
      </w:r>
    </w:p>
    <w:p w14:paraId="13335AE0">
      <w:pPr>
        <w:pStyle w:val="7"/>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cstheme="minorEastAsia"/>
          <w:sz w:val="24"/>
        </w:rPr>
      </w:pPr>
      <w:r>
        <w:rPr>
          <w:rFonts w:hint="eastAsia" w:asciiTheme="minorEastAsia" w:hAnsiTheme="minorEastAsia" w:cstheme="minorEastAsia"/>
          <w:sz w:val="24"/>
        </w:rPr>
        <w:t>联系方式：13651644226</w:t>
      </w:r>
    </w:p>
    <w:p w14:paraId="5BFF1089">
      <w:pPr>
        <w:pStyle w:val="7"/>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cstheme="minorEastAsia"/>
          <w:sz w:val="24"/>
        </w:rPr>
      </w:pPr>
      <w:r>
        <w:rPr>
          <w:rFonts w:hint="eastAsia" w:asciiTheme="minorEastAsia" w:hAnsiTheme="minorEastAsia" w:cstheme="minorEastAsia"/>
          <w:sz w:val="24"/>
        </w:rPr>
        <w:t>监督电话：0550-3801220</w:t>
      </w:r>
    </w:p>
    <w:p w14:paraId="560B0DFF">
      <w:pPr>
        <w:pStyle w:val="7"/>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asciiTheme="minorEastAsia" w:hAnsiTheme="minorEastAsia" w:cstheme="minorEastAsia"/>
          <w:sz w:val="24"/>
        </w:rPr>
      </w:pPr>
      <w:r>
        <w:rPr>
          <w:rFonts w:hint="eastAsia" w:asciiTheme="minorEastAsia" w:hAnsiTheme="minorEastAsia" w:cstheme="minorEastAsia"/>
          <w:sz w:val="24"/>
        </w:rPr>
        <w:t xml:space="preserve">驻集团纪检监察组监督电话：0550-3801206                                 </w:t>
      </w:r>
    </w:p>
    <w:p w14:paraId="55686F28">
      <w:pPr>
        <w:pStyle w:val="7"/>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asciiTheme="minorEastAsia" w:hAnsiTheme="minorEastAsia" w:cstheme="minorEastAsia"/>
          <w:sz w:val="24"/>
        </w:rPr>
      </w:pPr>
      <w:r>
        <w:rPr>
          <w:rFonts w:hint="eastAsia" w:asciiTheme="minorEastAsia" w:hAnsiTheme="minorEastAsia" w:cstheme="minorEastAsia"/>
          <w:sz w:val="24"/>
        </w:rPr>
        <w:t>代理机构名称：滁州市城投工程咨询管理有限公司</w:t>
      </w:r>
    </w:p>
    <w:p w14:paraId="0E8035F3">
      <w:pPr>
        <w:pStyle w:val="7"/>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asciiTheme="minorEastAsia" w:hAnsiTheme="minorEastAsia" w:cstheme="minorEastAsia"/>
          <w:sz w:val="24"/>
        </w:rPr>
      </w:pPr>
      <w:r>
        <w:rPr>
          <w:rFonts w:hint="eastAsia" w:asciiTheme="minorEastAsia" w:hAnsiTheme="minorEastAsia" w:cstheme="minorEastAsia"/>
          <w:sz w:val="24"/>
        </w:rPr>
        <w:t xml:space="preserve">地址：滁州市龙蟠大道109号房产商务大厦6楼605室 </w:t>
      </w:r>
    </w:p>
    <w:p w14:paraId="43BA64A2">
      <w:pPr>
        <w:pStyle w:val="7"/>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asciiTheme="minorEastAsia" w:hAnsiTheme="minorEastAsia" w:cstheme="minorEastAsia"/>
          <w:sz w:val="24"/>
        </w:rPr>
      </w:pPr>
      <w:r>
        <w:rPr>
          <w:rFonts w:hint="eastAsia" w:asciiTheme="minorEastAsia" w:hAnsiTheme="minorEastAsia" w:cstheme="minorEastAsia"/>
          <w:sz w:val="24"/>
        </w:rPr>
        <w:t>联系人：曹思敏</w:t>
      </w:r>
    </w:p>
    <w:p w14:paraId="7B17088A">
      <w:pPr>
        <w:pStyle w:val="7"/>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asciiTheme="minorEastAsia" w:hAnsiTheme="minorEastAsia" w:cstheme="minorEastAsia"/>
          <w:sz w:val="24"/>
        </w:rPr>
      </w:pPr>
      <w:r>
        <w:rPr>
          <w:rFonts w:hint="eastAsia" w:asciiTheme="minorEastAsia" w:hAnsiTheme="minorEastAsia" w:cstheme="minorEastAsia"/>
          <w:sz w:val="24"/>
        </w:rPr>
        <w:t>联系方式：0550-3519516、18712012204  </w:t>
      </w:r>
    </w:p>
    <w:p w14:paraId="63254BCE">
      <w:pPr>
        <w:pStyle w:val="7"/>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pPr>
      <w:r>
        <w:rPr>
          <w:rFonts w:hint="eastAsia" w:asciiTheme="minorEastAsia" w:hAnsiTheme="minorEastAsia" w:cstheme="minorEastAsia"/>
          <w:sz w:val="24"/>
        </w:rPr>
        <w:t>202</w:t>
      </w:r>
      <w:r>
        <w:rPr>
          <w:rFonts w:hint="eastAsia" w:asciiTheme="minorEastAsia" w:hAnsiTheme="minorEastAsia" w:cstheme="minorEastAsia"/>
          <w:sz w:val="24"/>
          <w:lang w:val="en-US" w:eastAsia="zh-CN"/>
        </w:rPr>
        <w:t>6</w:t>
      </w:r>
      <w:r>
        <w:rPr>
          <w:rFonts w:hint="eastAsia" w:asciiTheme="minorEastAsia" w:hAnsiTheme="minorEastAsia" w:cstheme="minorEastAsia"/>
          <w:sz w:val="24"/>
        </w:rPr>
        <w:t>年</w:t>
      </w:r>
      <w:r>
        <w:rPr>
          <w:rFonts w:hint="eastAsia" w:asciiTheme="minorEastAsia" w:hAnsiTheme="minorEastAsia" w:cstheme="minorEastAsia"/>
          <w:sz w:val="24"/>
          <w:lang w:val="en-US" w:eastAsia="zh-CN"/>
        </w:rPr>
        <w:t>9</w:t>
      </w:r>
      <w:r>
        <w:rPr>
          <w:rFonts w:hint="eastAsia" w:asciiTheme="minorEastAsia" w:hAnsiTheme="minorEastAsia" w:cstheme="minorEastAsia"/>
          <w:sz w:val="24"/>
        </w:rPr>
        <w:t>月</w:t>
      </w:r>
      <w:r>
        <w:rPr>
          <w:rFonts w:hint="eastAsia" w:asciiTheme="minorEastAsia" w:hAnsiTheme="minorEastAsia" w:cstheme="minorEastAsia"/>
          <w:sz w:val="24"/>
          <w:lang w:val="en-US" w:eastAsia="zh-CN"/>
        </w:rPr>
        <w:t>8</w:t>
      </w:r>
      <w:r>
        <w:rPr>
          <w:rFonts w:hint="eastAsia" w:asciiTheme="minorEastAsia" w:hAnsiTheme="minorEastAsia" w:cstheme="minorEastAsia"/>
          <w:sz w:val="24"/>
        </w:rPr>
        <w:t>日</w:t>
      </w:r>
    </w:p>
    <w:sectPr>
      <w:pgSz w:w="12240" w:h="15840"/>
      <w:pgMar w:top="1020" w:right="980" w:bottom="760" w:left="1180" w:header="720" w:footer="720" w:gutter="0"/>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onospace">
    <w:altName w:val="RomanS"/>
    <w:panose1 w:val="00000000000000000000"/>
    <w:charset w:val="00"/>
    <w:family w:val="auto"/>
    <w:pitch w:val="default"/>
    <w:sig w:usb0="00000000" w:usb1="00000000" w:usb2="00000000" w:usb3="00000000" w:csb0="00000000" w:csb1="00000000"/>
  </w:font>
  <w:font w:name="RomanS">
    <w:panose1 w:val="02000400000000000000"/>
    <w:charset w:val="00"/>
    <w:family w:val="auto"/>
    <w:pitch w:val="default"/>
    <w:sig w:usb0="00000207" w:usb1="00000000" w:usb2="00000000" w:usb3="00000000" w:csb0="000001FF" w:csb1="00000000"/>
  </w:font>
  <w:font w:name="ActionIcon ! important">
    <w:altName w:val="RomanS"/>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k1OGJkZDZlMmJiZjgxZThhZWQ4YzE0YWIxYTUyMmQifQ=="/>
  </w:docVars>
  <w:rsids>
    <w:rsidRoot w:val="6AF7236C"/>
    <w:rsid w:val="00022C36"/>
    <w:rsid w:val="000369C4"/>
    <w:rsid w:val="000847C4"/>
    <w:rsid w:val="000E4C9D"/>
    <w:rsid w:val="00113E0E"/>
    <w:rsid w:val="00127F7F"/>
    <w:rsid w:val="0013061C"/>
    <w:rsid w:val="0014586F"/>
    <w:rsid w:val="00157F84"/>
    <w:rsid w:val="001A5BDD"/>
    <w:rsid w:val="001D0F54"/>
    <w:rsid w:val="00210254"/>
    <w:rsid w:val="00283CDF"/>
    <w:rsid w:val="002875BC"/>
    <w:rsid w:val="002A752D"/>
    <w:rsid w:val="002C0705"/>
    <w:rsid w:val="002D50CE"/>
    <w:rsid w:val="002F0CD3"/>
    <w:rsid w:val="00302ABB"/>
    <w:rsid w:val="00335425"/>
    <w:rsid w:val="00354F54"/>
    <w:rsid w:val="00360BF9"/>
    <w:rsid w:val="00365838"/>
    <w:rsid w:val="0038280F"/>
    <w:rsid w:val="00383059"/>
    <w:rsid w:val="0039114C"/>
    <w:rsid w:val="00395C45"/>
    <w:rsid w:val="003A06B5"/>
    <w:rsid w:val="003A42B7"/>
    <w:rsid w:val="00400B85"/>
    <w:rsid w:val="00407826"/>
    <w:rsid w:val="00415D20"/>
    <w:rsid w:val="004405F7"/>
    <w:rsid w:val="0044621F"/>
    <w:rsid w:val="00484B69"/>
    <w:rsid w:val="00492774"/>
    <w:rsid w:val="004C3E95"/>
    <w:rsid w:val="0050109A"/>
    <w:rsid w:val="00510284"/>
    <w:rsid w:val="00511899"/>
    <w:rsid w:val="00533819"/>
    <w:rsid w:val="00564F84"/>
    <w:rsid w:val="00620B0B"/>
    <w:rsid w:val="00651CB9"/>
    <w:rsid w:val="006D0C2D"/>
    <w:rsid w:val="006E5650"/>
    <w:rsid w:val="006F5D5C"/>
    <w:rsid w:val="00711549"/>
    <w:rsid w:val="00771BFE"/>
    <w:rsid w:val="007B699F"/>
    <w:rsid w:val="007F2B79"/>
    <w:rsid w:val="00815B3B"/>
    <w:rsid w:val="00837CA9"/>
    <w:rsid w:val="0087220F"/>
    <w:rsid w:val="00875EB0"/>
    <w:rsid w:val="00886939"/>
    <w:rsid w:val="0089286E"/>
    <w:rsid w:val="008A6288"/>
    <w:rsid w:val="008F10F2"/>
    <w:rsid w:val="008F4A12"/>
    <w:rsid w:val="00916455"/>
    <w:rsid w:val="00995BDF"/>
    <w:rsid w:val="009D1F9D"/>
    <w:rsid w:val="00A12D00"/>
    <w:rsid w:val="00A534D4"/>
    <w:rsid w:val="00A831E1"/>
    <w:rsid w:val="00AB1D00"/>
    <w:rsid w:val="00AD7328"/>
    <w:rsid w:val="00B01ABF"/>
    <w:rsid w:val="00B06B47"/>
    <w:rsid w:val="00B2395A"/>
    <w:rsid w:val="00B53610"/>
    <w:rsid w:val="00B632E1"/>
    <w:rsid w:val="00B84212"/>
    <w:rsid w:val="00BE1736"/>
    <w:rsid w:val="00BE2A89"/>
    <w:rsid w:val="00BE6B79"/>
    <w:rsid w:val="00C06D92"/>
    <w:rsid w:val="00C374FF"/>
    <w:rsid w:val="00C6491F"/>
    <w:rsid w:val="00C7438F"/>
    <w:rsid w:val="00CF2A1F"/>
    <w:rsid w:val="00D062CF"/>
    <w:rsid w:val="00D205F7"/>
    <w:rsid w:val="00D46EF0"/>
    <w:rsid w:val="00D70404"/>
    <w:rsid w:val="00D946E0"/>
    <w:rsid w:val="00DA5345"/>
    <w:rsid w:val="00DA7C6A"/>
    <w:rsid w:val="00DC6CE5"/>
    <w:rsid w:val="00DD21E3"/>
    <w:rsid w:val="00DE0A8D"/>
    <w:rsid w:val="00DE29B4"/>
    <w:rsid w:val="00DF187B"/>
    <w:rsid w:val="00E143A9"/>
    <w:rsid w:val="00E17272"/>
    <w:rsid w:val="00E719C7"/>
    <w:rsid w:val="00E875E4"/>
    <w:rsid w:val="00EC244F"/>
    <w:rsid w:val="00F12AE0"/>
    <w:rsid w:val="00F23DF2"/>
    <w:rsid w:val="00F5327D"/>
    <w:rsid w:val="00F76FF2"/>
    <w:rsid w:val="00F850F9"/>
    <w:rsid w:val="00FC6480"/>
    <w:rsid w:val="00FE6358"/>
    <w:rsid w:val="03DB02CC"/>
    <w:rsid w:val="068A32AF"/>
    <w:rsid w:val="07630750"/>
    <w:rsid w:val="078E1545"/>
    <w:rsid w:val="07ED7DD7"/>
    <w:rsid w:val="0B09751C"/>
    <w:rsid w:val="0BE737FA"/>
    <w:rsid w:val="0BE81B6C"/>
    <w:rsid w:val="0CFD1647"/>
    <w:rsid w:val="0D0533D3"/>
    <w:rsid w:val="0EE03304"/>
    <w:rsid w:val="0F620C9F"/>
    <w:rsid w:val="13545D39"/>
    <w:rsid w:val="146E5FEF"/>
    <w:rsid w:val="1533327F"/>
    <w:rsid w:val="15E300E0"/>
    <w:rsid w:val="1699033E"/>
    <w:rsid w:val="175E5BBE"/>
    <w:rsid w:val="18FD3611"/>
    <w:rsid w:val="190A2E61"/>
    <w:rsid w:val="1A713228"/>
    <w:rsid w:val="1B094DF1"/>
    <w:rsid w:val="1B1639D5"/>
    <w:rsid w:val="1BCD0437"/>
    <w:rsid w:val="1BE007BA"/>
    <w:rsid w:val="1E870D71"/>
    <w:rsid w:val="1EFC218B"/>
    <w:rsid w:val="1F8D4B38"/>
    <w:rsid w:val="2011124C"/>
    <w:rsid w:val="20691BA1"/>
    <w:rsid w:val="20A52356"/>
    <w:rsid w:val="224C25B3"/>
    <w:rsid w:val="225936BB"/>
    <w:rsid w:val="22695F19"/>
    <w:rsid w:val="235B1CBA"/>
    <w:rsid w:val="2378512C"/>
    <w:rsid w:val="24AA2E33"/>
    <w:rsid w:val="24C604B1"/>
    <w:rsid w:val="25EA3C7F"/>
    <w:rsid w:val="266A21BD"/>
    <w:rsid w:val="267563A8"/>
    <w:rsid w:val="26D2116C"/>
    <w:rsid w:val="281C077C"/>
    <w:rsid w:val="28537F15"/>
    <w:rsid w:val="2B20626C"/>
    <w:rsid w:val="2BAB1A53"/>
    <w:rsid w:val="2C7D45A5"/>
    <w:rsid w:val="2CB76CC5"/>
    <w:rsid w:val="2D614E83"/>
    <w:rsid w:val="2E115F76"/>
    <w:rsid w:val="2E2619A1"/>
    <w:rsid w:val="2E526232"/>
    <w:rsid w:val="30B43D72"/>
    <w:rsid w:val="312E6430"/>
    <w:rsid w:val="31D5250E"/>
    <w:rsid w:val="31F9766E"/>
    <w:rsid w:val="32384404"/>
    <w:rsid w:val="325F4087"/>
    <w:rsid w:val="340867BE"/>
    <w:rsid w:val="3428494C"/>
    <w:rsid w:val="344E43B3"/>
    <w:rsid w:val="363244D7"/>
    <w:rsid w:val="36614AE9"/>
    <w:rsid w:val="369566E4"/>
    <w:rsid w:val="36D93CDC"/>
    <w:rsid w:val="3737059E"/>
    <w:rsid w:val="3791247D"/>
    <w:rsid w:val="37B97A3C"/>
    <w:rsid w:val="383E1B29"/>
    <w:rsid w:val="39522EA0"/>
    <w:rsid w:val="39A65225"/>
    <w:rsid w:val="3A795251"/>
    <w:rsid w:val="3B266E3B"/>
    <w:rsid w:val="3B8F20BC"/>
    <w:rsid w:val="3BAD59F7"/>
    <w:rsid w:val="3BFB1828"/>
    <w:rsid w:val="3E181484"/>
    <w:rsid w:val="3E2C7DBE"/>
    <w:rsid w:val="3F86427C"/>
    <w:rsid w:val="3F982986"/>
    <w:rsid w:val="410A4A33"/>
    <w:rsid w:val="41A07535"/>
    <w:rsid w:val="430A5745"/>
    <w:rsid w:val="43427E68"/>
    <w:rsid w:val="437E71E3"/>
    <w:rsid w:val="43DD12AF"/>
    <w:rsid w:val="43E65567"/>
    <w:rsid w:val="44126ACE"/>
    <w:rsid w:val="450058AF"/>
    <w:rsid w:val="45230F44"/>
    <w:rsid w:val="458F2DB0"/>
    <w:rsid w:val="45AD1F4E"/>
    <w:rsid w:val="46431178"/>
    <w:rsid w:val="46B300A5"/>
    <w:rsid w:val="46FF2AAE"/>
    <w:rsid w:val="481F7680"/>
    <w:rsid w:val="48427933"/>
    <w:rsid w:val="491A08B0"/>
    <w:rsid w:val="4976499D"/>
    <w:rsid w:val="4C2672E4"/>
    <w:rsid w:val="4D155616"/>
    <w:rsid w:val="4D5F7F6E"/>
    <w:rsid w:val="4D922814"/>
    <w:rsid w:val="4F591D2E"/>
    <w:rsid w:val="4FAC7D88"/>
    <w:rsid w:val="50BC6DC3"/>
    <w:rsid w:val="51B74809"/>
    <w:rsid w:val="54F52689"/>
    <w:rsid w:val="55AF2380"/>
    <w:rsid w:val="56BC0159"/>
    <w:rsid w:val="56C53F4E"/>
    <w:rsid w:val="5A064655"/>
    <w:rsid w:val="5A997ECC"/>
    <w:rsid w:val="5B8D4239"/>
    <w:rsid w:val="5BF35D85"/>
    <w:rsid w:val="5BFD3C9A"/>
    <w:rsid w:val="5C2D5158"/>
    <w:rsid w:val="5DD010E5"/>
    <w:rsid w:val="5F11506C"/>
    <w:rsid w:val="5FE67BB0"/>
    <w:rsid w:val="5FFB04C7"/>
    <w:rsid w:val="60793D34"/>
    <w:rsid w:val="60D365C5"/>
    <w:rsid w:val="60DC77A1"/>
    <w:rsid w:val="62933FD1"/>
    <w:rsid w:val="62F07BD8"/>
    <w:rsid w:val="634E4EC6"/>
    <w:rsid w:val="64B711D1"/>
    <w:rsid w:val="64EC2CA8"/>
    <w:rsid w:val="66AB30DC"/>
    <w:rsid w:val="67996413"/>
    <w:rsid w:val="68725BBA"/>
    <w:rsid w:val="692F7608"/>
    <w:rsid w:val="69510CA5"/>
    <w:rsid w:val="6AF7236C"/>
    <w:rsid w:val="6B7E237E"/>
    <w:rsid w:val="6BFB0FC2"/>
    <w:rsid w:val="6C501D6F"/>
    <w:rsid w:val="6D090AE2"/>
    <w:rsid w:val="6DF92264"/>
    <w:rsid w:val="6EAE5472"/>
    <w:rsid w:val="6ED40115"/>
    <w:rsid w:val="6F5E0C47"/>
    <w:rsid w:val="6FB10D76"/>
    <w:rsid w:val="6FB11366"/>
    <w:rsid w:val="70023BC2"/>
    <w:rsid w:val="71940950"/>
    <w:rsid w:val="720E6FA8"/>
    <w:rsid w:val="73001B44"/>
    <w:rsid w:val="73831F18"/>
    <w:rsid w:val="746F2FAE"/>
    <w:rsid w:val="74F82FA3"/>
    <w:rsid w:val="75113D7D"/>
    <w:rsid w:val="761839BC"/>
    <w:rsid w:val="761C0F14"/>
    <w:rsid w:val="76F523EF"/>
    <w:rsid w:val="77C10B91"/>
    <w:rsid w:val="79490272"/>
    <w:rsid w:val="79E64466"/>
    <w:rsid w:val="79EB53F5"/>
    <w:rsid w:val="7A8552D9"/>
    <w:rsid w:val="7AE047A8"/>
    <w:rsid w:val="7B79030E"/>
    <w:rsid w:val="7C3F7B31"/>
    <w:rsid w:val="7C6D5616"/>
    <w:rsid w:val="7D2E15F5"/>
    <w:rsid w:val="7D4960AF"/>
    <w:rsid w:val="7ED558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qFormat="1" w:unhideWhenUsed="0" w:uiPriority="39" w:semiHidden="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qFormat="1" w:unhideWhenUsed="0" w:uiPriority="0" w:semiHidden="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iPriority="0" w:name="Normal (Web)"/>
    <w:lsdException w:qFormat="1" w:uiPriority="0" w:name="HTML Acronym"/>
    <w:lsdException w:uiPriority="0" w:name="HTML Address"/>
    <w:lsdException w:qFormat="1" w:uiPriority="0" w:name="HTML Cite"/>
    <w:lsdException w:qFormat="1" w:uiPriority="0" w:name="HTML Code"/>
    <w:lsdException w:qFormat="1" w:uiPriority="0" w:name="HTML Definition"/>
    <w:lsdException w:qFormat="1" w:uiPriority="0" w:name="HTML Keyboard"/>
    <w:lsdException w:uiPriority="0" w:name="HTML Preformatted"/>
    <w:lsdException w:qFormat="1" w:uiPriority="0" w:name="HTML Sample"/>
    <w:lsdException w:qFormat="1" w:uiPriority="0" w:name="HTML Typewriter"/>
    <w:lsdException w:qFormat="1"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5">
    <w:name w:val="Default Paragraph Font"/>
    <w:semiHidden/>
    <w:unhideWhenUsed/>
    <w:qFormat/>
    <w:uiPriority w:val="1"/>
  </w:style>
  <w:style w:type="table" w:default="1" w:styleId="14">
    <w:name w:val="Normal Table"/>
    <w:autoRedefine/>
    <w:semiHidden/>
    <w:unhideWhenUsed/>
    <w:qFormat/>
    <w:uiPriority w:val="99"/>
    <w:tblPr>
      <w:tblCellMar>
        <w:top w:w="0" w:type="dxa"/>
        <w:left w:w="108" w:type="dxa"/>
        <w:bottom w:w="0" w:type="dxa"/>
        <w:right w:w="108" w:type="dxa"/>
      </w:tblCellMar>
    </w:tblPr>
  </w:style>
  <w:style w:type="paragraph" w:styleId="2">
    <w:name w:val="toc 7"/>
    <w:basedOn w:val="1"/>
    <w:next w:val="1"/>
    <w:autoRedefine/>
    <w:qFormat/>
    <w:uiPriority w:val="39"/>
    <w:pPr>
      <w:ind w:left="1260"/>
      <w:jc w:val="left"/>
    </w:pPr>
    <w:rPr>
      <w:sz w:val="18"/>
      <w:szCs w:val="18"/>
    </w:rPr>
  </w:style>
  <w:style w:type="paragraph" w:styleId="3">
    <w:name w:val="annotation text"/>
    <w:basedOn w:val="1"/>
    <w:link w:val="29"/>
    <w:autoRedefine/>
    <w:qFormat/>
    <w:uiPriority w:val="0"/>
    <w:pPr>
      <w:jc w:val="left"/>
    </w:pPr>
  </w:style>
  <w:style w:type="paragraph" w:styleId="4">
    <w:name w:val="Body Text"/>
    <w:basedOn w:val="1"/>
    <w:autoRedefine/>
    <w:semiHidden/>
    <w:qFormat/>
    <w:uiPriority w:val="0"/>
    <w:rPr>
      <w:rFonts w:ascii="宋体" w:hAnsi="宋体" w:eastAsia="宋体" w:cs="宋体"/>
      <w:sz w:val="28"/>
      <w:szCs w:val="28"/>
      <w:lang w:eastAsia="en-US"/>
    </w:rPr>
  </w:style>
  <w:style w:type="paragraph" w:styleId="5">
    <w:name w:val="Body Text Indent"/>
    <w:basedOn w:val="1"/>
    <w:next w:val="6"/>
    <w:autoRedefine/>
    <w:qFormat/>
    <w:uiPriority w:val="0"/>
    <w:pPr>
      <w:spacing w:after="120"/>
      <w:ind w:left="420" w:leftChars="200"/>
    </w:pPr>
  </w:style>
  <w:style w:type="paragraph" w:styleId="6">
    <w:name w:val="envelope return"/>
    <w:basedOn w:val="1"/>
    <w:next w:val="2"/>
    <w:autoRedefine/>
    <w:qFormat/>
    <w:uiPriority w:val="0"/>
    <w:pPr>
      <w:snapToGrid w:val="0"/>
    </w:pPr>
    <w:rPr>
      <w:rFonts w:ascii="Arial" w:hAnsi="Arial"/>
    </w:rPr>
  </w:style>
  <w:style w:type="paragraph" w:styleId="7">
    <w:name w:val="Plain Text"/>
    <w:basedOn w:val="1"/>
    <w:autoRedefine/>
    <w:qFormat/>
    <w:uiPriority w:val="0"/>
    <w:rPr>
      <w:rFonts w:ascii="宋体" w:hAnsi="Courier New"/>
    </w:rPr>
  </w:style>
  <w:style w:type="paragraph" w:styleId="8">
    <w:name w:val="Balloon Text"/>
    <w:basedOn w:val="1"/>
    <w:link w:val="31"/>
    <w:autoRedefine/>
    <w:qFormat/>
    <w:uiPriority w:val="0"/>
    <w:rPr>
      <w:sz w:val="18"/>
      <w:szCs w:val="18"/>
    </w:rPr>
  </w:style>
  <w:style w:type="paragraph" w:styleId="9">
    <w:name w:val="footer"/>
    <w:basedOn w:val="1"/>
    <w:link w:val="35"/>
    <w:autoRedefine/>
    <w:qFormat/>
    <w:uiPriority w:val="0"/>
    <w:pPr>
      <w:tabs>
        <w:tab w:val="center" w:pos="4153"/>
        <w:tab w:val="right" w:pos="8306"/>
      </w:tabs>
      <w:snapToGrid w:val="0"/>
      <w:jc w:val="left"/>
    </w:pPr>
    <w:rPr>
      <w:sz w:val="18"/>
      <w:szCs w:val="18"/>
    </w:rPr>
  </w:style>
  <w:style w:type="paragraph" w:styleId="10">
    <w:name w:val="header"/>
    <w:basedOn w:val="1"/>
    <w:link w:val="34"/>
    <w:autoRedefine/>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semiHidden/>
    <w:unhideWhenUsed/>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paragraph" w:styleId="12">
    <w:name w:val="annotation subject"/>
    <w:basedOn w:val="3"/>
    <w:next w:val="3"/>
    <w:link w:val="30"/>
    <w:autoRedefine/>
    <w:qFormat/>
    <w:uiPriority w:val="0"/>
    <w:rPr>
      <w:b/>
      <w:bCs/>
    </w:rPr>
  </w:style>
  <w:style w:type="paragraph" w:styleId="13">
    <w:name w:val="Body Text First Indent 2"/>
    <w:basedOn w:val="5"/>
    <w:next w:val="1"/>
    <w:autoRedefine/>
    <w:qFormat/>
    <w:uiPriority w:val="99"/>
    <w:pPr>
      <w:ind w:firstLine="420" w:firstLineChars="200"/>
    </w:pPr>
  </w:style>
  <w:style w:type="character" w:styleId="16">
    <w:name w:val="Strong"/>
    <w:basedOn w:val="15"/>
    <w:qFormat/>
    <w:uiPriority w:val="0"/>
    <w:rPr>
      <w:b/>
      <w:bCs/>
    </w:rPr>
  </w:style>
  <w:style w:type="character" w:styleId="17">
    <w:name w:val="FollowedHyperlink"/>
    <w:basedOn w:val="15"/>
    <w:autoRedefine/>
    <w:qFormat/>
    <w:uiPriority w:val="0"/>
    <w:rPr>
      <w:color w:val="333333"/>
      <w:u w:val="none"/>
    </w:rPr>
  </w:style>
  <w:style w:type="character" w:styleId="18">
    <w:name w:val="Emphasis"/>
    <w:basedOn w:val="15"/>
    <w:qFormat/>
    <w:uiPriority w:val="0"/>
    <w:rPr>
      <w:b/>
      <w:bCs/>
    </w:rPr>
  </w:style>
  <w:style w:type="character" w:styleId="19">
    <w:name w:val="HTML Definition"/>
    <w:basedOn w:val="15"/>
    <w:semiHidden/>
    <w:unhideWhenUsed/>
    <w:qFormat/>
    <w:uiPriority w:val="0"/>
  </w:style>
  <w:style w:type="character" w:styleId="20">
    <w:name w:val="HTML Typewriter"/>
    <w:basedOn w:val="15"/>
    <w:semiHidden/>
    <w:unhideWhenUsed/>
    <w:qFormat/>
    <w:uiPriority w:val="0"/>
    <w:rPr>
      <w:rFonts w:hint="default" w:ascii="monospace" w:hAnsi="monospace" w:eastAsia="monospace" w:cs="monospace"/>
      <w:sz w:val="20"/>
    </w:rPr>
  </w:style>
  <w:style w:type="character" w:styleId="21">
    <w:name w:val="HTML Acronym"/>
    <w:basedOn w:val="15"/>
    <w:semiHidden/>
    <w:unhideWhenUsed/>
    <w:qFormat/>
    <w:uiPriority w:val="0"/>
    <w:rPr>
      <w:rFonts w:ascii="ActionIcon ! important" w:hAnsi="ActionIcon ! important" w:eastAsia="ActionIcon ! important" w:cs="ActionIcon ! important"/>
      <w:sz w:val="24"/>
      <w:szCs w:val="24"/>
    </w:rPr>
  </w:style>
  <w:style w:type="character" w:styleId="22">
    <w:name w:val="HTML Variable"/>
    <w:basedOn w:val="15"/>
    <w:semiHidden/>
    <w:unhideWhenUsed/>
    <w:qFormat/>
    <w:uiPriority w:val="0"/>
  </w:style>
  <w:style w:type="character" w:styleId="23">
    <w:name w:val="Hyperlink"/>
    <w:basedOn w:val="15"/>
    <w:autoRedefine/>
    <w:qFormat/>
    <w:uiPriority w:val="0"/>
    <w:rPr>
      <w:color w:val="333333"/>
      <w:u w:val="none"/>
    </w:rPr>
  </w:style>
  <w:style w:type="character" w:styleId="24">
    <w:name w:val="HTML Code"/>
    <w:basedOn w:val="15"/>
    <w:semiHidden/>
    <w:unhideWhenUsed/>
    <w:qFormat/>
    <w:uiPriority w:val="0"/>
    <w:rPr>
      <w:rFonts w:hint="default" w:ascii="monospace" w:hAnsi="monospace" w:eastAsia="monospace" w:cs="monospace"/>
      <w:sz w:val="20"/>
    </w:rPr>
  </w:style>
  <w:style w:type="character" w:styleId="25">
    <w:name w:val="annotation reference"/>
    <w:basedOn w:val="15"/>
    <w:autoRedefine/>
    <w:qFormat/>
    <w:uiPriority w:val="0"/>
    <w:rPr>
      <w:sz w:val="21"/>
      <w:szCs w:val="21"/>
    </w:rPr>
  </w:style>
  <w:style w:type="character" w:styleId="26">
    <w:name w:val="HTML Cite"/>
    <w:basedOn w:val="15"/>
    <w:semiHidden/>
    <w:unhideWhenUsed/>
    <w:qFormat/>
    <w:uiPriority w:val="0"/>
  </w:style>
  <w:style w:type="character" w:styleId="27">
    <w:name w:val="HTML Keyboard"/>
    <w:basedOn w:val="15"/>
    <w:semiHidden/>
    <w:unhideWhenUsed/>
    <w:qFormat/>
    <w:uiPriority w:val="0"/>
    <w:rPr>
      <w:rFonts w:ascii="monospace" w:hAnsi="monospace" w:eastAsia="monospace" w:cs="monospace"/>
      <w:sz w:val="20"/>
    </w:rPr>
  </w:style>
  <w:style w:type="character" w:styleId="28">
    <w:name w:val="HTML Sample"/>
    <w:basedOn w:val="15"/>
    <w:semiHidden/>
    <w:unhideWhenUsed/>
    <w:qFormat/>
    <w:uiPriority w:val="0"/>
    <w:rPr>
      <w:rFonts w:hint="default" w:ascii="monospace" w:hAnsi="monospace" w:eastAsia="monospace" w:cs="monospace"/>
    </w:rPr>
  </w:style>
  <w:style w:type="character" w:customStyle="1" w:styleId="29">
    <w:name w:val="批注文字 Char"/>
    <w:basedOn w:val="15"/>
    <w:link w:val="3"/>
    <w:autoRedefine/>
    <w:qFormat/>
    <w:uiPriority w:val="0"/>
    <w:rPr>
      <w:rFonts w:asciiTheme="minorHAnsi" w:hAnsiTheme="minorHAnsi" w:eastAsiaTheme="minorEastAsia" w:cstheme="minorBidi"/>
      <w:kern w:val="2"/>
      <w:sz w:val="21"/>
      <w:szCs w:val="24"/>
    </w:rPr>
  </w:style>
  <w:style w:type="character" w:customStyle="1" w:styleId="30">
    <w:name w:val="批注主题 Char"/>
    <w:basedOn w:val="29"/>
    <w:link w:val="12"/>
    <w:autoRedefine/>
    <w:qFormat/>
    <w:uiPriority w:val="0"/>
    <w:rPr>
      <w:rFonts w:asciiTheme="minorHAnsi" w:hAnsiTheme="minorHAnsi" w:eastAsiaTheme="minorEastAsia" w:cstheme="minorBidi"/>
      <w:b/>
      <w:bCs/>
      <w:kern w:val="2"/>
      <w:sz w:val="21"/>
      <w:szCs w:val="24"/>
    </w:rPr>
  </w:style>
  <w:style w:type="character" w:customStyle="1" w:styleId="31">
    <w:name w:val="批注框文本 Char"/>
    <w:basedOn w:val="15"/>
    <w:link w:val="8"/>
    <w:autoRedefine/>
    <w:qFormat/>
    <w:uiPriority w:val="0"/>
    <w:rPr>
      <w:rFonts w:asciiTheme="minorHAnsi" w:hAnsiTheme="minorHAnsi" w:eastAsiaTheme="minorEastAsia" w:cstheme="minorBidi"/>
      <w:kern w:val="2"/>
      <w:sz w:val="18"/>
      <w:szCs w:val="18"/>
    </w:rPr>
  </w:style>
  <w:style w:type="paragraph" w:styleId="32">
    <w:name w:val="List Paragraph"/>
    <w:basedOn w:val="1"/>
    <w:autoRedefine/>
    <w:unhideWhenUsed/>
    <w:qFormat/>
    <w:uiPriority w:val="99"/>
    <w:pPr>
      <w:ind w:firstLine="420" w:firstLineChars="200"/>
    </w:pPr>
  </w:style>
  <w:style w:type="paragraph" w:customStyle="1" w:styleId="33">
    <w:name w:val="Default"/>
    <w:autoRedefine/>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character" w:customStyle="1" w:styleId="34">
    <w:name w:val="页眉 Char"/>
    <w:basedOn w:val="15"/>
    <w:link w:val="10"/>
    <w:autoRedefine/>
    <w:qFormat/>
    <w:uiPriority w:val="0"/>
    <w:rPr>
      <w:rFonts w:asciiTheme="minorHAnsi" w:hAnsiTheme="minorHAnsi" w:eastAsiaTheme="minorEastAsia" w:cstheme="minorBidi"/>
      <w:kern w:val="2"/>
      <w:sz w:val="18"/>
      <w:szCs w:val="18"/>
    </w:rPr>
  </w:style>
  <w:style w:type="character" w:customStyle="1" w:styleId="35">
    <w:name w:val="页脚 Char"/>
    <w:basedOn w:val="15"/>
    <w:link w:val="9"/>
    <w:autoRedefine/>
    <w:qFormat/>
    <w:uiPriority w:val="0"/>
    <w:rPr>
      <w:rFonts w:asciiTheme="minorHAnsi" w:hAnsiTheme="minorHAnsi" w:eastAsiaTheme="minorEastAsia" w:cstheme="minorBidi"/>
      <w:kern w:val="2"/>
      <w:sz w:val="18"/>
      <w:szCs w:val="18"/>
    </w:rPr>
  </w:style>
  <w:style w:type="character" w:customStyle="1" w:styleId="36">
    <w:name w:val="hover"/>
    <w:basedOn w:val="15"/>
    <w:qFormat/>
    <w:uiPriority w:val="0"/>
  </w:style>
  <w:style w:type="character" w:customStyle="1" w:styleId="37">
    <w:name w:val="hover1"/>
    <w:basedOn w:val="15"/>
    <w:qFormat/>
    <w:uiPriority w:val="0"/>
    <w:rPr>
      <w:color w:val="2590EB"/>
    </w:rPr>
  </w:style>
  <w:style w:type="character" w:customStyle="1" w:styleId="38">
    <w:name w:val="hover2"/>
    <w:basedOn w:val="15"/>
    <w:qFormat/>
    <w:uiPriority w:val="0"/>
    <w:rPr>
      <w:color w:val="2590EB"/>
    </w:rPr>
  </w:style>
  <w:style w:type="character" w:customStyle="1" w:styleId="39">
    <w:name w:val="hover3"/>
    <w:basedOn w:val="15"/>
    <w:qFormat/>
    <w:uiPriority w:val="0"/>
    <w:rPr>
      <w:color w:val="2590EB"/>
      <w:shd w:val="clear" w:fill="E9F4FD"/>
    </w:rPr>
  </w:style>
  <w:style w:type="character" w:customStyle="1" w:styleId="40">
    <w:name w:val="mini-outputtext1"/>
    <w:basedOn w:val="15"/>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73F0E5-A2E5-41BC-A042-36036AEF8B84}">
  <ds:schemaRefs/>
</ds:datastoreItem>
</file>

<file path=docProps/app.xml><?xml version="1.0" encoding="utf-8"?>
<Properties xmlns="http://schemas.openxmlformats.org/officeDocument/2006/extended-properties" xmlns:vt="http://schemas.openxmlformats.org/officeDocument/2006/docPropsVTypes">
  <Template>Normal.dotm</Template>
  <Pages>7</Pages>
  <Words>5631</Words>
  <Characters>5778</Characters>
  <Lines>43</Lines>
  <Paragraphs>12</Paragraphs>
  <TotalTime>15</TotalTime>
  <ScaleCrop>false</ScaleCrop>
  <LinksUpToDate>false</LinksUpToDate>
  <CharactersWithSpaces>5868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2023-12-24T18:18:00Z</dcterms:created>
  <dc:creator>admin</dc:creator>
  <cp:lastModifiedBy>三</cp:lastModifiedBy>
  <cp:lastPrinted>2026-09-08T07:55:00Z</cp:lastPrinted>
  <dcterms:modified xsi:type="dcterms:W3CDTF">2026-09-08T08:35:30Z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E563DCE42DAF4B03934EF8E5E746F729_13</vt:lpwstr>
  </property>
  <property fmtid="{D5CDD505-2E9C-101B-9397-08002B2CF9AE}" pid="4" name="KSOTemplateDocerSaveRecord">
    <vt:lpwstr>eyJoZGlkIjoiZDI0MDRhMDQ3ZTAxNDAyNjU2NTg5OGM3NDVjNTI5OTQiLCJ1c2VySWQiOiIxNTg0MTY0OTAxIn0=</vt:lpwstr>
  </property>
</Properties>
</file>